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k-means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Wikipedia</w:t>
      </w:r>
    </w:p>
    <w:p>
      <w:pPr>
        <w:pStyle w:val="a7"/>
      </w:pPr>
      <w:r>
        <w:t xml:space="preserve">2019년</w:t>
      </w:r>
      <w:r>
        <w:t xml:space="preserve"> </w:t>
      </w:r>
      <w:r>
        <w:t xml:space="preserve">03월</w:t>
      </w:r>
      <w:r>
        <w:t xml:space="preserve"> </w:t>
      </w:r>
      <w:r>
        <w:t xml:space="preserve">06일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1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Given a set of observations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</m:oMath>
      <w:r>
        <w:t xml:space="preserve">, where each observation is a</w:t>
      </w:r>
      <w:r>
        <w:t xml:space="preserve"> </w:t>
      </w:r>
      <w:r>
        <w:rPr>
          <w:i/>
        </w:rPr>
        <w:t xml:space="preserve">d</w:t>
      </w:r>
      <w:r>
        <w:t xml:space="preserve">-dimensional real vector, k-means clustering aims to partition the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observations into</w:t>
      </w:r>
      <w:r>
        <w:t xml:space="preserve"> </w:t>
      </w:r>
      <m:oMath>
        <m:r>
          <m:t>k</m:t>
        </m:r>
        <m:r>
          <m:t>(</m:t>
        </m:r>
        <m:r>
          <m:t>≤</m:t>
        </m:r>
        <m:r>
          <m:t>n</m:t>
        </m:r>
        <m:r>
          <m:t>)</m:t>
        </m:r>
      </m:oMath>
      <w:r>
        <w:t xml:space="preserve"> </w:t>
      </w:r>
      <w:r>
        <w:t xml:space="preserve">sets</w:t>
      </w:r>
      <w:r>
        <w:t xml:space="preserve"> </w:t>
      </w:r>
      <m:oMath>
        <m:r>
          <m:t>S</m:t>
        </m:r>
        <m:r>
          <m:t>=</m:t>
        </m:r>
        <m:r>
          <m:t>{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S</m:t>
            </m:r>
          </m:e>
          <m:sub>
            <m:r>
              <m:t>k</m:t>
            </m:r>
          </m:sub>
        </m:sSub>
        <m:r>
          <m:t>}</m:t>
        </m:r>
      </m:oMath>
      <w:r>
        <w:t xml:space="preserve"> </w:t>
      </w:r>
      <w:r>
        <w:t xml:space="preserve">so as to minimize the within-cluster sum of squares (WCSS) (i.e. variance). Formally, the objective is to find:</w:t>
      </w:r>
    </w:p>
    <w:p>
      <w:pPr>
        <w:pStyle w:val="a1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arg</m:t>
              </m:r>
              <m:r>
                <m:rPr>
                  <m:sty m:val="p"/>
                </m:rPr>
                <m:t>min</m:t>
              </m:r>
            </m:e>
            <m:lim>
              <m:r>
                <m:t>S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x</m:t>
                  </m:r>
                  <m:r>
                    <m:t>∈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  <m:sup/>
                <m:e>
                  <m:r>
                    <m:t>|</m:t>
                  </m:r>
                </m:e>
              </m:nary>
            </m:e>
          </m:nary>
          <m:r>
            <m:t>|</m:t>
          </m:r>
          <m:r>
            <m:t>x</m:t>
          </m:r>
          <m:r>
            <m:t>−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t>|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  <m:r>
            <m:t>=</m:t>
          </m:r>
          <m:limLow>
            <m:e>
              <m:r>
                <m:rPr>
                  <m:sty m:val="p"/>
                </m:rPr>
                <m:t>arg</m:t>
              </m:r>
              <m:r>
                <m:rPr>
                  <m:sty m:val="p"/>
                </m:rPr>
                <m:t>min</m:t>
              </m:r>
            </m:e>
            <m:lim>
              <m:r>
                <m:t>S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t>|</m:t>
              </m:r>
            </m:e>
          </m:nary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|</m:t>
          </m:r>
          <m:r>
            <m:t>V</m:t>
          </m:r>
          <m:r>
            <m:t>a</m:t>
          </m:r>
          <m:r>
            <m:t>r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</m:oMath>
      </m:oMathPara>
    </w:p>
    <w:p>
      <w:pPr>
        <w:pStyle w:val="1"/>
      </w:pPr>
      <w:bookmarkStart w:id="22" w:name="history"/>
      <w:bookmarkEnd w:id="22"/>
      <w:r>
        <w:t xml:space="preserve">History</w:t>
      </w:r>
    </w:p>
    <w:p>
      <w:pPr>
        <w:pStyle w:val="FirstParagraph"/>
      </w:pPr>
      <w:r>
        <w:t xml:space="preserve">The term</w:t>
      </w:r>
      <w:r>
        <w:t xml:space="preserve"> </w:t>
      </w:r>
      <w:r>
        <w:t xml:space="preserve">“</w:t>
      </w:r>
      <w:r>
        <w:t xml:space="preserve">k-means</w:t>
      </w:r>
      <w:r>
        <w:t xml:space="preserve">”</w:t>
      </w:r>
      <w:r>
        <w:t xml:space="preserve"> </w:t>
      </w:r>
      <w:r>
        <w:t xml:space="preserve">was first used by James MacQueen in 1967</w:t>
      </w:r>
      <w:r>
        <w:t xml:space="preserve">(MacQueen 1967)</w:t>
      </w:r>
      <w:r>
        <w:t xml:space="preserve">, though the idea goes back to Hugo Steinhaus in 1957</w:t>
      </w:r>
      <w:r>
        <w:t xml:space="preserve">(Steinhaus 1956)</w:t>
      </w:r>
      <w:r>
        <w:t xml:space="preserve">. The standard algorithm was first proposed by Stuart Lloyd in 1957 as a technique for pulse-code modulation, though it wasn’t published outside of Bell Labs until 1982</w:t>
      </w:r>
      <w:r>
        <w:t xml:space="preserve">(Lloyd 1982)</w:t>
      </w:r>
      <w:r>
        <w:t xml:space="preserve">. In 1965, E. W. Forgy published essentially the same method, which is why it is sometimes referred to as Lloyd-Forgy</w:t>
      </w:r>
      <w:r>
        <w:t xml:space="preserve">(Forgy 1965)</w:t>
      </w:r>
      <w:r>
        <w:t xml:space="preserve">.</w:t>
      </w:r>
    </w:p>
    <w:p>
      <w:pPr>
        <w:pStyle w:val="1"/>
      </w:pPr>
      <w:bookmarkStart w:id="23" w:name="algorithms"/>
      <w:bookmarkEnd w:id="23"/>
      <w:r>
        <w:t xml:space="preserve">Algorithms</w:t>
      </w:r>
    </w:p>
    <w:p>
      <w:pPr>
        <w:pStyle w:val="FirstParagraph"/>
      </w:pPr>
      <w:r>
        <w:drawing>
          <wp:inline>
            <wp:extent cx="31623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kmean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5306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kmean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5306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kmean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5306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kmean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"/>
      </w:pPr>
      <w:r>
        <w:t xml:space="preserve">Forgy, E. 1965. “Cluster Analysis of Multivariate Data: Efficiency Versus Interpretability of Classification.”</w:t>
      </w:r>
      <w:r>
        <w:t xml:space="preserve"> </w:t>
      </w:r>
      <w:r>
        <w:rPr>
          <w:i/>
        </w:rPr>
        <w:t xml:space="preserve">Biometrics</w:t>
      </w:r>
      <w:r>
        <w:t xml:space="preserve">, no. 3: 768–69.</w:t>
      </w:r>
    </w:p>
    <w:p>
      <w:pPr>
        <w:pStyle w:val="a"/>
      </w:pPr>
      <w:r>
        <w:t xml:space="preserve">Lloyd, S. 1982. “Least Squares Quantization in Pcm.”</w:t>
      </w:r>
      <w:r>
        <w:t xml:space="preserve"> </w:t>
      </w:r>
      <w:r>
        <w:rPr>
          <w:i/>
        </w:rPr>
        <w:t xml:space="preserve">IEEE Transactions on Information Theory</w:t>
      </w:r>
      <w:r>
        <w:t xml:space="preserve">, no. 2. NJ, USA: IEEE Press Piscataway: 129–37.</w:t>
      </w:r>
    </w:p>
    <w:p>
      <w:pPr>
        <w:pStyle w:val="a"/>
      </w:pPr>
      <w:r>
        <w:t xml:space="preserve">MacQueen, J. 1967. “Some Methods for Classification and Analysis of Multivariate Observations.” In</w:t>
      </w:r>
      <w:r>
        <w:t xml:space="preserve"> </w:t>
      </w:r>
      <w:r>
        <w:rPr>
          <w:i/>
        </w:rPr>
        <w:t xml:space="preserve">Berkeley Symposium on Mathematical Statistics and Probability</w:t>
      </w:r>
      <w:r>
        <w:t xml:space="preserve">, 281–97. University of California Press.</w:t>
      </w:r>
    </w:p>
    <w:p>
      <w:pPr>
        <w:pStyle w:val="a"/>
      </w:pPr>
      <w:r>
        <w:t xml:space="preserve">Steinhaus, H. 1956. “Sur La Division Des Corps Matériels En Parties.”</w:t>
      </w:r>
      <w:r>
        <w:t xml:space="preserve"> </w:t>
      </w:r>
      <w:r>
        <w:rPr>
          <w:i/>
        </w:rPr>
        <w:t xml:space="preserve">Bull. Acad. Polon. Sci.</w:t>
      </w:r>
      <w:r>
        <w:t xml:space="preserve">, 801–4.</w:t>
      </w:r>
    </w:p>
    <w:sectPr w:rsidR="002579CA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54D09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F17AA03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86641B98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606ED38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194495B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22EE74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F0625C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5C27E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B6E744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8366E9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C44A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9609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BB510E7"/>
    <w:multiLevelType w:val="hybridMultilevel"/>
    <w:tmpl w:val="5F1083FC"/>
    <w:lvl w:ilvl="0" w:tplc="6546A9A4">
      <w:start w:val="1"/>
      <w:numFmt w:val="decimal"/>
      <w:pStyle w:val="a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3" w15:restartNumberingAfterBreak="0">
    <w:nsid w:val="5A953E89"/>
    <w:multiLevelType w:val="multilevel"/>
    <w:tmpl w:val="4306C648"/>
    <w:lvl w:ilvl="0">
      <w:start w:val="1"/>
      <w:numFmt w:val="decimal"/>
      <w:pStyle w:val="1"/>
      <w:lvlText w:val="%1."/>
      <w:lvlJc w:val="left"/>
      <w:pPr>
        <w:ind w:left="595" w:hanging="34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049" w:hanging="59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418" w:hanging="766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36ab91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7D1A75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7D1A75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7D1A75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1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rsid w:val="00B04C09"/>
    <w:pPr>
      <w:spacing w:before="180" w:after="180" w:line="360" w:lineRule="auto"/>
      <w:ind w:firstLineChars="100" w:firstLine="100"/>
      <w:jc w:val="both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0"/>
    <w:next w:val="a1"/>
    <w:qFormat/>
    <w:rsid w:val="007D1A7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7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">
    <w:name w:val="Bibliography"/>
    <w:basedOn w:val="a0"/>
    <w:qFormat/>
    <w:rsid w:val="008304C4"/>
    <w:pPr>
      <w:numPr>
        <w:numId w:val="14"/>
      </w:numPr>
      <w:spacing w:line="360" w:lineRule="auto"/>
      <w:ind w:leftChars="100" w:left="503" w:hanging="403"/>
    </w:pPr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  <w:rsid w:val="003028CB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rsid w:val="00B04C09"/>
    <w:pPr>
      <w:jc w:val="center"/>
    </w:p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Pr>
      <w:color w:val="4F81BD" w:themeColor="accent1"/>
    </w:rPr>
  </w:style>
  <w:style w:type="paragraph" w:styleId="TOC">
    <w:name w:val="TOC Heading"/>
    <w:basedOn w:val="a0"/>
    <w:next w:val="a1"/>
    <w:uiPriority w:val="39"/>
    <w:unhideWhenUsed/>
    <w:qFormat/>
    <w:rsid w:val="005E30DA"/>
    <w:pPr>
      <w:spacing w:before="240" w:line="259" w:lineRule="auto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EC305A"/>
  </w:style>
  <w:style w:type="paragraph" w:styleId="20">
    <w:name w:val="toc 2"/>
    <w:basedOn w:val="a0"/>
    <w:next w:val="a0"/>
    <w:autoRedefine/>
    <w:uiPriority w:val="39"/>
    <w:unhideWhenUsed/>
    <w:rsid w:val="00EC305A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EC305A"/>
    <w:pPr>
      <w:ind w:leftChars="400" w:left="850"/>
    </w:pPr>
  </w:style>
  <w:style w:type="character" w:customStyle="1" w:styleId="Char">
    <w:name w:val="본문 Char"/>
    <w:basedOn w:val="a2"/>
    <w:link w:val="a1"/>
    <w:rsid w:val="00B04C09"/>
  </w:style>
  <w:style w:type="paragraph" w:styleId="ad">
    <w:name w:val="header"/>
    <w:basedOn w:val="a0"/>
    <w:link w:val="Char1"/>
    <w:unhideWhenUsed/>
    <w:rsid w:val="003028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d"/>
    <w:rsid w:val="003028CB"/>
  </w:style>
  <w:style w:type="paragraph" w:styleId="ae">
    <w:name w:val="footer"/>
    <w:basedOn w:val="a0"/>
    <w:link w:val="Char2"/>
    <w:unhideWhenUsed/>
    <w:rsid w:val="003028C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e"/>
    <w:rsid w:val="00302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k-means clustering</dc:title>
  <dc:creator>Wikipedia</dc:creator>
  <dcterms:created xsi:type="dcterms:W3CDTF">2019-03-06T03:38:23Z</dcterms:created>
  <dcterms:modified xsi:type="dcterms:W3CDTF">2019-03-06T03:38:23Z</dcterms:modified>
</cp:coreProperties>
</file>