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서비스 수준 협약서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(SLA: Service Level Agreement)</w:t>
      </w:r>
    </w:p>
    <w:p w:rsidR="00000000" w:rsidDel="00000000" w:rsidP="00000000" w:rsidRDefault="00000000" w:rsidRPr="00000000" w14:paraId="00000003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algun Gothic" w:cs="Malgun Gothic" w:eastAsia="Malgun Gothic" w:hAnsi="Malgun Gothic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rtl w:val="0"/>
        </w:rPr>
        <w:t xml:space="preserve">목적 (Purpose)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본 서비스 수준 협약서를 통해 (주)인스웨이브시스템즈가 제공하는 </w:t>
      </w:r>
      <w:r w:rsidDel="00000000" w:rsidR="00000000" w:rsidRPr="00000000">
        <w:rPr>
          <w:sz w:val="22"/>
          <w:szCs w:val="22"/>
          <w:rtl w:val="0"/>
        </w:rPr>
        <w:t xml:space="preserve">W-Hive 모바일 앱 빌드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서비스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의 서비스 수준 및 보상 규정을 명확히 합니다.</w:t>
      </w:r>
    </w:p>
    <w:p w:rsidR="00000000" w:rsidDel="00000000" w:rsidP="00000000" w:rsidRDefault="00000000" w:rsidRPr="00000000" w14:paraId="00000006">
      <w:pPr>
        <w:jc w:val="both"/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용어 정의 (Definitions)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W-Hive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모바일 앱 빌드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서비스 (이하 ‘서비스’): </w:t>
      </w:r>
      <w:r w:rsidDel="00000000" w:rsidR="00000000" w:rsidRPr="00000000">
        <w:rPr>
          <w:sz w:val="22"/>
          <w:szCs w:val="22"/>
          <w:rtl w:val="0"/>
        </w:rPr>
        <w:t xml:space="preserve">모바일 앱(Android/iOS)을 빌드/배포를 자동으로 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사용할 수 있는 </w:t>
      </w:r>
      <w:r w:rsidDel="00000000" w:rsidR="00000000" w:rsidRPr="00000000">
        <w:rPr>
          <w:sz w:val="22"/>
          <w:szCs w:val="22"/>
          <w:rtl w:val="0"/>
        </w:rPr>
        <w:t xml:space="preserve">W-Hive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모바일 앱 빌드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서비스를 의미합니다.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 사용 시간: 24시간 x 장애 발생 월의 일 수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가동률: (월 사용 시간 – 장애 시간) / 월 사용 시간 x 100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유료 고객: 장애 발생일을 기준으로 서비스 </w:t>
      </w:r>
      <w:r w:rsidDel="00000000" w:rsidR="00000000" w:rsidRPr="00000000">
        <w:rPr>
          <w:sz w:val="22"/>
          <w:szCs w:val="22"/>
          <w:rtl w:val="0"/>
        </w:rPr>
        <w:t xml:space="preserve">Professional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또는 엔터프라이즈 플랜을 사용 중이며, 월간 또는 연간 이용료가 완납된 고객을 의미합니다. (이용료 미납 또는 무료 제공 기간에 해당하는 경우 제외)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월구독형 요금제</w:t>
      </w:r>
    </w:p>
    <w:tbl>
      <w:tblPr>
        <w:tblStyle w:val="Table1"/>
        <w:tblW w:w="8256.0" w:type="dxa"/>
        <w:jc w:val="left"/>
        <w:tblInd w:w="7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4"/>
        <w:gridCol w:w="2106"/>
        <w:gridCol w:w="2062"/>
        <w:gridCol w:w="2024"/>
        <w:tblGridChange w:id="0">
          <w:tblGrid>
            <w:gridCol w:w="2064"/>
            <w:gridCol w:w="2106"/>
            <w:gridCol w:w="2062"/>
            <w:gridCol w:w="20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요금종류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요금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Freefier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무료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Android 1개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Professional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월 300,000원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연 3,000,000원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Android 2개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iOS 개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Enterprise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Contact 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cc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Contact 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US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크레딧: 서비스에서 사용할 수 있는 적립금의 형태로, 1크레딧은 1원의 가치가 있으며 제3자에게 양도 및 현금으로 교환이 불가능합니다. 부여된 크레딧은 지급 익월부터 사용할 수 있습니다.</w:t>
      </w:r>
    </w:p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서비스 책임 (Service Responsibility)</w:t>
      </w:r>
    </w:p>
    <w:p w:rsidR="00000000" w:rsidDel="00000000" w:rsidP="00000000" w:rsidRDefault="00000000" w:rsidRPr="00000000" w14:paraId="00000023">
      <w:pPr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서비스는 월 사용 시간 대비 업계 수준인 가동률 99.</w:t>
      </w:r>
      <w:r w:rsidDel="00000000" w:rsidR="00000000" w:rsidRPr="00000000">
        <w:rPr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%를 보장합니다.</w:t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서비스가 위 가동률을 충족하지 않을 경우, 유료 고객은 장애 발생 당일 서비스 측으로 장애 내용을 접수하여 아래 정의된 보상 규정을 적용한 보상 크레딧을 부여 받을 수 있습니다.</w:t>
      </w:r>
    </w:p>
    <w:p w:rsidR="00000000" w:rsidDel="00000000" w:rsidP="00000000" w:rsidRDefault="00000000" w:rsidRPr="00000000" w14:paraId="00000025">
      <w:pPr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서비스 장애 (Downtime)</w:t>
      </w:r>
    </w:p>
    <w:p w:rsidR="00000000" w:rsidDel="00000000" w:rsidP="00000000" w:rsidRDefault="00000000" w:rsidRPr="00000000" w14:paraId="00000027">
      <w:pPr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본 협약서에서 사용하는 용어의 정의는 다음과 같습니다.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검증된 서버 장애로 서비스 접속이 불가능한 경우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검증된 장애로 메시지 수/발신이 불가능한 경우</w:t>
      </w:r>
    </w:p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서비스 장애 시간으로 포함되지 않는 항목은 다음과 같습니다.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사전 공지를 통해 예정된 정기 점검의 경우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이용자의 네트워크 환경 문제로 인해 서비스 사용이 불가능한 경우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연동 서비스 제공자 측의 장애 발생으로 서비스의 특정 기능 사용이 불가능한 경우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불가항력적 원인(천재지변, 폭동, 전쟁, 소요사태, 정부의 규제 등)으로 서비스 사용이 불가능한 경우</w:t>
      </w:r>
    </w:p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rtl w:val="0"/>
        </w:rPr>
        <w:t xml:space="preserve">보상 규정 (Service Credit)</w:t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상기 항목에서 명시된 장애 발생 시 월 이용료 기준, 아래 가동률 별 명시되어 있는 보상 비율에 해당하는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금액을 서비스 크레딧으로 보상합니다.</w:t>
      </w:r>
    </w:p>
    <w:tbl>
      <w:tblPr>
        <w:tblStyle w:val="Table2"/>
        <w:tblW w:w="4910.0" w:type="dxa"/>
        <w:jc w:val="left"/>
        <w:tblInd w:w="17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73"/>
        <w:gridCol w:w="1937"/>
        <w:tblGridChange w:id="0">
          <w:tblGrid>
            <w:gridCol w:w="2973"/>
            <w:gridCol w:w="1937"/>
          </w:tblGrid>
        </w:tblGridChange>
      </w:tblGrid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가동률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보상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8.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0% 이상 99.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% 미만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10배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.0% 미만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15배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rtl w:val="0"/>
        </w:rPr>
        <w:t xml:space="preserve">보상 요청 및 지급 절차 프로세스 (Credit Request and Payment Procedures)</w:t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270500" cy="13906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0" cy="1390650"/>
                          <a:chOff x="0" y="0"/>
                          <a:chExt cx="5270500" cy="139065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270500" cy="1390650"/>
                            <a:chOff x="0" y="0"/>
                            <a:chExt cx="5270500" cy="1390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270500" cy="1390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95287" y="0"/>
                              <a:ext cx="4479925" cy="1390650"/>
                            </a:xfrm>
                            <a:prstGeom prst="rightArrow">
                              <a:avLst>
                                <a:gd fmla="val 50000" name="adj1"/>
                                <a:gd fmla="val 50000" name="adj2"/>
                              </a:avLst>
                            </a:prstGeom>
                            <a:solidFill>
                              <a:srgbClr val="CACAC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544" y="417195"/>
                              <a:ext cx="929543" cy="55626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50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" name="Shape 6"/>
                          <wps:spPr>
                            <a:xfrm>
                              <a:off x="28698" y="444349"/>
                              <a:ext cx="875235" cy="5019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장애 접수</w:t>
                                </w:r>
                              </w:p>
                            </w:txbxContent>
                          </wps:txbx>
                          <wps:bodyPr anchorCtr="0" anchor="ctr" bIns="38100" lIns="38100" spcFirstLastPara="1" rIns="38100" wrap="square" tIns="381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086011" y="417195"/>
                              <a:ext cx="929543" cy="55626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50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" name="Shape 8"/>
                          <wps:spPr>
                            <a:xfrm>
                              <a:off x="1113165" y="444349"/>
                              <a:ext cx="875235" cy="5019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복구 작업</w:t>
                                </w:r>
                              </w:p>
                            </w:txbxContent>
                          </wps:txbx>
                          <wps:bodyPr anchorCtr="0" anchor="ctr" bIns="38100" lIns="38100" spcFirstLastPara="1" rIns="38100" wrap="square" tIns="381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170478" y="417195"/>
                              <a:ext cx="929543" cy="55626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50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" name="Shape 10"/>
                          <wps:spPr>
                            <a:xfrm>
                              <a:off x="2197632" y="444349"/>
                              <a:ext cx="875235" cy="5019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장애 리포트</w:t>
                                </w:r>
                              </w:p>
                            </w:txbxContent>
                          </wps:txbx>
                          <wps:bodyPr anchorCtr="0" anchor="ctr" bIns="38100" lIns="38100" spcFirstLastPara="1" rIns="381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254945" y="417195"/>
                              <a:ext cx="929543" cy="55626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50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" name="Shape 12"/>
                          <wps:spPr>
                            <a:xfrm>
                              <a:off x="3282099" y="444349"/>
                              <a:ext cx="875235" cy="5019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보상액 산정 및 지급</w:t>
                                </w:r>
                              </w:p>
                            </w:txbxContent>
                          </wps:txbx>
                          <wps:bodyPr anchorCtr="0" anchor="ctr" bIns="38100" lIns="38100" spcFirstLastPara="1" rIns="381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339412" y="417195"/>
                              <a:ext cx="929543" cy="55626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50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4" name="Shape 14"/>
                          <wps:spPr>
                            <a:xfrm>
                              <a:off x="4366566" y="444349"/>
                              <a:ext cx="875235" cy="5019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모니터링</w:t>
                                </w:r>
                              </w:p>
                            </w:txbxContent>
                          </wps:txbx>
                          <wps:bodyPr anchorCtr="0" anchor="ctr" bIns="38100" lIns="38100" spcFirstLastPara="1" rIns="381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270500" cy="139065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1390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장애 접수 (장애 발생일): 서비스 장애가 식별되는 즉시,  복구 작업을 실시합니다. 장애발생일 유료 고객으로부터 접수된 보상 요청에 신속히 (전자) 서면 또는 유선으로 답변합니다.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복구 작업: 장애로 인한 영향력을 최소화하기 위해 서비스의 신속한 복구를 수행하고 장애 원인에 따라 정확한 대응 방법을 설정합니다.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장애 리포트 전달 (장애 발생 7일 이내): 서비스 장애 시간과 장애 원인 및 내용, 후속조치를 포함하는 장애 리포트를 장애 발생 7일 이내로 전달합니다.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보상액 산정 및 지급: 서비스 서비스 장애 보상 정책에 준하여 크레딧으로 장애 발생일 10영업일 이내로 보상합니다.</w:t>
      </w:r>
    </w:p>
    <w:p w:rsidR="00000000" w:rsidDel="00000000" w:rsidP="00000000" w:rsidRDefault="00000000" w:rsidRPr="00000000" w14:paraId="0000003F">
      <w:pPr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모니터링: 복구 작업을 완료한 이후에도 장애 예방 및 대응을 위한 중장기적 개선 사항을 발굴하기 위해 지속적으로 모니터링합니다. 모니터링 프로세스는 장애 근본 원인에 대한 재확인, 해결책 분석 및 평가의 순서로 순환합니다.</w:t>
      </w:r>
    </w:p>
    <w:p w:rsidR="00000000" w:rsidDel="00000000" w:rsidP="00000000" w:rsidRDefault="00000000" w:rsidRPr="00000000" w14:paraId="00000040">
      <w:pPr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보안 요구사항</w:t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인스웨이브시스템즈는 국가기관등에 클라우드서비스를 제공하는 경우, 계약 또는 보안서비스 수준 협약과정에서 다음 사항들을 고려하고 있습니다.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클라우드컴퓨팅서비스 제공 범위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4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회사가 제공하는 서비스에 회원가입후 지정된 </w:t>
      </w:r>
      <w:r w:rsidDel="00000000" w:rsidR="00000000" w:rsidRPr="00000000">
        <w:rPr>
          <w:sz w:val="22"/>
          <w:szCs w:val="22"/>
          <w:rtl w:val="0"/>
        </w:rPr>
        <w:t xml:space="preserve">AppID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에 대하여 </w:t>
      </w:r>
      <w:r w:rsidDel="00000000" w:rsidR="00000000" w:rsidRPr="00000000">
        <w:rPr>
          <w:sz w:val="22"/>
          <w:szCs w:val="22"/>
          <w:rtl w:val="0"/>
        </w:rPr>
        <w:t xml:space="preserve">모바일 앱 빌드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서비스를 사용할 수 있습니다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4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모바일 앱 빌드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서비스는 </w:t>
      </w:r>
      <w:r w:rsidDel="00000000" w:rsidR="00000000" w:rsidRPr="00000000">
        <w:rPr>
          <w:sz w:val="22"/>
          <w:szCs w:val="22"/>
          <w:rtl w:val="0"/>
        </w:rPr>
        <w:t xml:space="preserve">모바일 앱(Android/iOS)을 빌드 및 배포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서비스를 범위로 합니다.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4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모바일 앱 빌드 서비스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sz w:val="22"/>
          <w:szCs w:val="22"/>
          <w:rtl w:val="0"/>
        </w:rPr>
        <w:t xml:space="preserve">프로젝트 생성/설정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빌드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배포, 관리기능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을 기본서비스로 합니다.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59" w:lineRule="auto"/>
        <w:ind w:left="440" w:right="0" w:hanging="44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회사의 의무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회사는 이 약관에서 정한 바에 따라 계속적이고 안정적인 서비스의 제공을 위하여 지속적으로 노력하며, 설비에 장애가 생기거나 멸실 된 때에는 지체 없이 이를 수리 복구하여야 합니다. 다만, 천재지변, 비상사태, 또는 그 밖에 부득이한 경우에는 그 서비스를 일시 중단하거나 중지할 수 있습니다.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hd w:fill="ffffff" w:val="clear"/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회사는 회원으로부터 소정의 절차에 의해 제기되는 의견이나 불만이 정당하다고 인정할 경우에는 적절한 절차를 거처 처리하여야 합니다. 처리 시 일정 기간이 소요될 경우 회원에게 그 사유와 처리 일정을 알려주어야 합니다.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hd w:fill="ffffff" w:val="clear"/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회사는 이용계약의 체결, 계약사항의 변경 및 해지 등 이용고객과의 계약 관련 절차 및 내용 등에 있어 이용고객에게 편의를 제공하도록 노력합니다.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hd w:fill="ffffff" w:val="clear"/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회사의 서비스를 이용하는 회원에게 손해가 발생한 경우, 회사는 그 손해가 회사의 고의 또는 중과실로 인해 발생한 경우에만 손해배상책임을 부담하며, 그 범위는 통상 손해에 한합니다.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hd w:fill="ffffff" w:val="clear"/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회사는 “정보통신망 이용촉진 및 정보보호에 관한 법률”, “통신비밀보호법”, “전기통신사업법” 등 서비스의 운영, 유지와 관련 있는 법규를 준수합니다.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59" w:lineRule="auto"/>
        <w:ind w:left="440" w:right="0" w:hanging="44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회원의 의무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hd w:fill="ffffff" w:val="clear"/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회원은 이 약관에서 규정하는 사항과 이용안내 또는 공지사항 등을 통하여 회사가 공지하는 사항을 준수하여야 하며, 기타 회사의 업무에 방해되는 행위를 하여서는 안 됩니다.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hd w:fill="ffffff" w:val="clear"/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회원은 ID와 비밀번호에 관한 모든 관리책임은 회원에게 있습니다. 회원에게 부여된 ID와 비밀번호의 관리 소홀, 부정사용에 의하여 발생하는 모든 결과에 대한 책임은 회원에게 있습니다.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hd w:fill="ffffff" w:val="clear"/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회원은 자신의 ID나 비밀번호가 부정하게 사용되었다는 사실을 발견한 경우에는 즉시 회사에 신고하여야 하며, 신고를 하지 않아 발생하는 모든 결과에 대한 책임은 회원에게 있습니다.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hd w:fill="ffffff" w:val="clear"/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회원은 회사의 사전승낙 없이는 서비스를 이용하여 영업활동을 할 수 없으며, 그 영업활동의 결과와 회원이 약관에 위반한 영업활동을 하여 발생한 결과에 대하여 회사는 책임을 지지 않습니다. 회원은 이와 같은 영업활동으로 회사가 손해를 입은 경우 회사에 대하여 손해배상의무를 집니다.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hd w:fill="ffffff" w:val="clear"/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회원은 회사의 명시적인 동의가 없는 한 서비스의 이용권한, 기타 이용 계약상 지위를 타인에게 양도, 증여할 수 없으며, 이를 담보로 제공할 수 없습니다.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hd w:fill="ffffff" w:val="clear"/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회원은 서비스 이용과 관련하여 다음 각 호에 해당되는 행위를 하여서는 안 됩니다.</w:t>
        <w:br w:type="textWrapping"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24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회원의 ID와 비밀번호, 휴대폰번호 등을 도용하는 행위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24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 서비스를 통하여 얻은 정보를 회사의 사전승낙 없이 회원의 이용 이외 목적으로 복제하거나 이를 출판 및 방송 등에 사용하거나 제3자에게 제공하는 행위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24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본인의 특허, 상표, 영업비밀, 저작권 기타 지적재산권을 침해하는 내용을 게시, 전자메일 또는 기타의 방법으로 타인에게 유포하는 행위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24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공공질서 및 미풍양속에 위반되는 저속, 음란한 내용의 정보, 문장, 도형 등을 전송, 게시, 전자메일 또는 기타의 방법으로 타인에게 유포하는 행위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24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모욕적이거나 위협적이어서 타인의 사생활을 침해할 수 있는 내용을 전송, 게시, 전자메일 또는 기타의 방법으로 타인에게 유포하는 행위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24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범죄와 결부된다고 객관적으로 판단되는 행위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24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회사의 승인을 받지 않고 다른 사용자의 개인정보를 수집 또는 저장하는 행위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24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기타 관계법령에 위배되는 행위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59" w:lineRule="auto"/>
        <w:ind w:left="440" w:right="0" w:hanging="44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서비스이용책임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283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회원은 회사에서 권한 있는 사원이 서명한 명시적인 서면에 구체적으로 허용한 경우를 제외하고는 서비스를 이용하여 상품을 판매하는 영업활동을 할 수 없으며 특히 해킹, 음란 사이트 등을 통한 상업행위, 상용 S/W 불법배포 등을 할 수 없습니다. 이를 어기고 발생한 영업활동의 결과 및 손실, 관계기관에 의한 구속 등 법적 조치 등에 관해서는 회사가 책임을 지지 않습니다.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이용자 데이터 소유권, 저장 위치, 이관 및 보호 방법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이용자 데이터의 이용자가 소유권을 가지며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AWS (Amazon Web Services)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저장합니다.  서비스가 해지 또는 만료 등으로 종료되는 경우 고객의 데이터는 지체없이 파기되어 접근할 수 없습니다.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회사는 서비스의 종료시점 이전에 고객의 데이터 이관을 원할 경우 이를 지원하기 위하여 데이터 백업방안을 제시할 수 있습니다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계약의 만료 또는 종료 시 데이터의 처리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계약 만료 또는 종료 시 데이터는 지체없이 파기합니다. 단, 전자상거래법 등 법률의 사유에 해당하는 경우에는 해당 기간 종료 시까지 보유합니다.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고객에게 영향을 미치는 제3자 또는 하도급 업체 관계에 대한 정보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개인정보의 처리 목적에서 명시한 범위 내에서만 처리하며, 「개인정보 보호법」제17조 및 제18조에 해당하는 경우 개인정보를 제3자에게 제공하고 그 이외에는 정보주체의 개인정보를 제3자에게 제공하지 않습니다.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사고 또는 장애발생 시 대내•외 관련 기관 및 전문가와 협조체계를 구성하여 대응하고, 국가정보원 및 이용기관의 대응에 협조하겠습니다.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사전인증이 필요한 제품군은 CC인증, 보안기능확인서 등을 받은 제품을 도입하여 운영합니다.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사고 또는 장애발생 시 대내•외 관련 기관 및 전문가와 협조체계를 구성하여 대응하고, 국가정보원 및 이용기관의 사고•장애 대응 및 예방보안 활동 등에 협조하겠습니다.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클라우드 컴퓨팅 서비스 망 운용 관리에 따른 보안 취약점 개선•발굴, 사이버공격 위협에 대한 예방, 대응, 실태평가, 안전성 및 보안대책의 적합성과 이행여부 확인 등의 목적으로 클라우드 사업자 시설에 대한 현장실사 방문, 안전성 보안 측정 실시, 보안진단•점검 등 수행 사항에 대하여 협조하겠습니다.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현장실사, 안전성 보안측정 실시, 보안점검 등 수행 목적으로 기술적 지원을 요청할 시에 모니터링 도구, 로그 수집 기술 등의 제반 환경을 제공 사항을 제공하겠습니다.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제3자 또는 하도급 또는 위탁에 관한 처리</w:t>
      </w:r>
    </w:p>
    <w:p w:rsidR="00000000" w:rsidDel="00000000" w:rsidP="00000000" w:rsidRDefault="00000000" w:rsidRPr="00000000" w14:paraId="0000006B">
      <w:pPr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'(주)인스웨이브시스템즈'는 위탁계약 체결시 수탁자에 대한 관리·감독, 손해배상 등 책임에 관한 사항을 계약서 등 문서에 명시하고 감독하고 있습니다. 위탁업무의 내용이나 수탁자가 변경될 경우에는 지체없이 공개하도록 하겠습니다.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Arial" w:cs="Arial" w:eastAsia="Arial" w:hAnsi="Arial"/>
          <w:sz w:val="22"/>
          <w:szCs w:val="2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클라우드서비스 위탁 정보</w:t>
          </w:r>
        </w:sdtContent>
      </w:sdt>
    </w:p>
    <w:p w:rsidR="00000000" w:rsidDel="00000000" w:rsidP="00000000" w:rsidRDefault="00000000" w:rsidRPr="00000000" w14:paraId="0000006D">
      <w:pPr>
        <w:spacing w:line="276" w:lineRule="auto"/>
        <w:ind w:firstLine="720"/>
        <w:rPr>
          <w:rFonts w:ascii="Arial" w:cs="Arial" w:eastAsia="Arial" w:hAnsi="Arial"/>
          <w:sz w:val="22"/>
          <w:szCs w:val="22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위탁받는 자(수탁자) : AWS (Amazon Web Services)</w:t>
          </w:r>
        </w:sdtContent>
      </w:sdt>
    </w:p>
    <w:p w:rsidR="00000000" w:rsidDel="00000000" w:rsidP="00000000" w:rsidRDefault="00000000" w:rsidRPr="00000000" w14:paraId="0000006E">
      <w:pPr>
        <w:spacing w:line="276" w:lineRule="auto"/>
        <w:ind w:firstLine="720"/>
        <w:rPr>
          <w:rFonts w:ascii="Arial" w:cs="Arial" w:eastAsia="Arial" w:hAnsi="Arial"/>
          <w:sz w:val="22"/>
          <w:szCs w:val="22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위탁업무 : 클라우드 정보시스템 운영 서비스</w:t>
          </w:r>
        </w:sdtContent>
      </w:sdt>
    </w:p>
    <w:p w:rsidR="00000000" w:rsidDel="00000000" w:rsidP="00000000" w:rsidRDefault="00000000" w:rsidRPr="00000000" w14:paraId="0000006F">
      <w:pPr>
        <w:spacing w:line="276" w:lineRule="auto"/>
        <w:ind w:firstLine="720"/>
        <w:rPr>
          <w:sz w:val="22"/>
          <w:szCs w:val="22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보유 및 이용기간 : AWS 서비스 이용기간까지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기타 국가기관 등 기관의 특성에 따라 다른 보안 요구사항에 협조하겠습니다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ulim"/>
  <w:font w:name="Georgia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1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upperLetter"/>
      <w:lvlText w:val="%2."/>
      <w:lvlJc w:val="left"/>
      <w:pPr>
        <w:ind w:left="1164" w:hanging="440"/>
      </w:pPr>
      <w:rPr/>
    </w:lvl>
    <w:lvl w:ilvl="2">
      <w:start w:val="1"/>
      <w:numFmt w:val="lowerRoman"/>
      <w:lvlText w:val="%3."/>
      <w:lvlJc w:val="right"/>
      <w:pPr>
        <w:ind w:left="1604" w:hanging="440"/>
      </w:pPr>
      <w:rPr/>
    </w:lvl>
    <w:lvl w:ilvl="3">
      <w:start w:val="1"/>
      <w:numFmt w:val="decimal"/>
      <w:lvlText w:val="%4."/>
      <w:lvlJc w:val="left"/>
      <w:pPr>
        <w:ind w:left="2044" w:hanging="440"/>
      </w:pPr>
      <w:rPr/>
    </w:lvl>
    <w:lvl w:ilvl="4">
      <w:start w:val="1"/>
      <w:numFmt w:val="upperLetter"/>
      <w:lvlText w:val="%5."/>
      <w:lvlJc w:val="left"/>
      <w:pPr>
        <w:ind w:left="2484" w:hanging="440"/>
      </w:pPr>
      <w:rPr/>
    </w:lvl>
    <w:lvl w:ilvl="5">
      <w:start w:val="1"/>
      <w:numFmt w:val="lowerRoman"/>
      <w:lvlText w:val="%6."/>
      <w:lvlJc w:val="right"/>
      <w:pPr>
        <w:ind w:left="2924" w:hanging="440"/>
      </w:pPr>
      <w:rPr/>
    </w:lvl>
    <w:lvl w:ilvl="6">
      <w:start w:val="1"/>
      <w:numFmt w:val="decimal"/>
      <w:lvlText w:val="%7."/>
      <w:lvlJc w:val="left"/>
      <w:pPr>
        <w:ind w:left="3364" w:hanging="440"/>
      </w:pPr>
      <w:rPr/>
    </w:lvl>
    <w:lvl w:ilvl="7">
      <w:start w:val="1"/>
      <w:numFmt w:val="upperLetter"/>
      <w:lvlText w:val="%8."/>
      <w:lvlJc w:val="left"/>
      <w:pPr>
        <w:ind w:left="3804" w:hanging="440"/>
      </w:pPr>
      <w:rPr/>
    </w:lvl>
    <w:lvl w:ilvl="8">
      <w:start w:val="1"/>
      <w:numFmt w:val="lowerRoman"/>
      <w:lvlText w:val="%9."/>
      <w:lvlJc w:val="right"/>
      <w:pPr>
        <w:ind w:left="4244" w:hanging="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ascii="Malgun Gothic" w:cs="Malgun Gothic" w:eastAsia="Malgun Gothic" w:hAnsi="Malgun Gothic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2"/>
      <w:numFmt w:val="decimal"/>
      <w:lvlText w:val="%1"/>
      <w:lvlJc w:val="left"/>
      <w:pPr>
        <w:ind w:left="440" w:hanging="440"/>
      </w:pPr>
      <w:rPr/>
    </w:lvl>
    <w:lvl w:ilvl="1">
      <w:start w:val="1"/>
      <w:numFmt w:val="upperLetter"/>
      <w:lvlText w:val="%2."/>
      <w:lvlJc w:val="left"/>
      <w:pPr>
        <w:ind w:left="1036" w:hanging="440"/>
      </w:pPr>
      <w:rPr/>
    </w:lvl>
    <w:lvl w:ilvl="2">
      <w:start w:val="1"/>
      <w:numFmt w:val="lowerRoman"/>
      <w:lvlText w:val="%3."/>
      <w:lvlJc w:val="right"/>
      <w:pPr>
        <w:ind w:left="1476" w:hanging="440"/>
      </w:pPr>
      <w:rPr/>
    </w:lvl>
    <w:lvl w:ilvl="3">
      <w:start w:val="1"/>
      <w:numFmt w:val="decimal"/>
      <w:lvlText w:val="%4."/>
      <w:lvlJc w:val="left"/>
      <w:pPr>
        <w:ind w:left="1916" w:hanging="440"/>
      </w:pPr>
      <w:rPr/>
    </w:lvl>
    <w:lvl w:ilvl="4">
      <w:start w:val="1"/>
      <w:numFmt w:val="upperLetter"/>
      <w:lvlText w:val="%5."/>
      <w:lvlJc w:val="left"/>
      <w:pPr>
        <w:ind w:left="2356" w:hanging="440"/>
      </w:pPr>
      <w:rPr/>
    </w:lvl>
    <w:lvl w:ilvl="5">
      <w:start w:val="1"/>
      <w:numFmt w:val="lowerRoman"/>
      <w:lvlText w:val="%6."/>
      <w:lvlJc w:val="right"/>
      <w:pPr>
        <w:ind w:left="2796" w:hanging="440"/>
      </w:pPr>
      <w:rPr/>
    </w:lvl>
    <w:lvl w:ilvl="6">
      <w:start w:val="1"/>
      <w:numFmt w:val="decimal"/>
      <w:lvlText w:val="%7."/>
      <w:lvlJc w:val="left"/>
      <w:pPr>
        <w:ind w:left="3236" w:hanging="440"/>
      </w:pPr>
      <w:rPr/>
    </w:lvl>
    <w:lvl w:ilvl="7">
      <w:start w:val="1"/>
      <w:numFmt w:val="upperLetter"/>
      <w:lvlText w:val="%8."/>
      <w:lvlJc w:val="left"/>
      <w:pPr>
        <w:ind w:left="3676" w:hanging="440"/>
      </w:pPr>
      <w:rPr/>
    </w:lvl>
    <w:lvl w:ilvl="8">
      <w:start w:val="1"/>
      <w:numFmt w:val="lowerRoman"/>
      <w:lvlText w:val="%9."/>
      <w:lvlJc w:val="right"/>
      <w:pPr>
        <w:ind w:left="4116" w:hanging="44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1240" w:hanging="440"/>
      </w:pPr>
      <w:rPr/>
    </w:lvl>
    <w:lvl w:ilvl="1">
      <w:start w:val="1"/>
      <w:numFmt w:val="upperLetter"/>
      <w:lvlText w:val="%2."/>
      <w:lvlJc w:val="left"/>
      <w:pPr>
        <w:ind w:left="1680" w:hanging="440"/>
      </w:pPr>
      <w:rPr/>
    </w:lvl>
    <w:lvl w:ilvl="2">
      <w:start w:val="1"/>
      <w:numFmt w:val="lowerRoman"/>
      <w:lvlText w:val="%3."/>
      <w:lvlJc w:val="right"/>
      <w:pPr>
        <w:ind w:left="2120" w:hanging="440"/>
      </w:pPr>
      <w:rPr/>
    </w:lvl>
    <w:lvl w:ilvl="3">
      <w:start w:val="1"/>
      <w:numFmt w:val="decimal"/>
      <w:lvlText w:val="%4."/>
      <w:lvlJc w:val="left"/>
      <w:pPr>
        <w:ind w:left="2560" w:hanging="440"/>
      </w:pPr>
      <w:rPr/>
    </w:lvl>
    <w:lvl w:ilvl="4">
      <w:start w:val="1"/>
      <w:numFmt w:val="upperLetter"/>
      <w:lvlText w:val="%5."/>
      <w:lvlJc w:val="left"/>
      <w:pPr>
        <w:ind w:left="3000" w:hanging="440"/>
      </w:pPr>
      <w:rPr/>
    </w:lvl>
    <w:lvl w:ilvl="5">
      <w:start w:val="1"/>
      <w:numFmt w:val="lowerRoman"/>
      <w:lvlText w:val="%6."/>
      <w:lvlJc w:val="right"/>
      <w:pPr>
        <w:ind w:left="3440" w:hanging="440"/>
      </w:pPr>
      <w:rPr/>
    </w:lvl>
    <w:lvl w:ilvl="6">
      <w:start w:val="1"/>
      <w:numFmt w:val="decimal"/>
      <w:lvlText w:val="%7."/>
      <w:lvlJc w:val="left"/>
      <w:pPr>
        <w:ind w:left="3880" w:hanging="440"/>
      </w:pPr>
      <w:rPr/>
    </w:lvl>
    <w:lvl w:ilvl="7">
      <w:start w:val="1"/>
      <w:numFmt w:val="upperLetter"/>
      <w:lvlText w:val="%8."/>
      <w:lvlJc w:val="left"/>
      <w:pPr>
        <w:ind w:left="4320" w:hanging="440"/>
      </w:pPr>
      <w:rPr/>
    </w:lvl>
    <w:lvl w:ilvl="8">
      <w:start w:val="1"/>
      <w:numFmt w:val="lowerRoman"/>
      <w:lvlText w:val="%9."/>
      <w:lvlJc w:val="right"/>
      <w:pPr>
        <w:ind w:left="4760" w:hanging="440"/>
      </w:pPr>
      <w:rPr/>
    </w:lvl>
  </w:abstractNum>
  <w:abstractNum w:abstractNumId="8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1"/>
      <w:numFmt w:val="upperLetter"/>
      <w:lvlText w:val="%2."/>
      <w:lvlJc w:val="left"/>
      <w:pPr>
        <w:ind w:left="880" w:hanging="440"/>
      </w:pPr>
      <w:rPr/>
    </w:lvl>
    <w:lvl w:ilvl="2">
      <w:start w:val="1"/>
      <w:numFmt w:val="lowerRoman"/>
      <w:lvlText w:val="%3."/>
      <w:lvlJc w:val="right"/>
      <w:pPr>
        <w:ind w:left="1320" w:hanging="440"/>
      </w:pPr>
      <w:rPr/>
    </w:lvl>
    <w:lvl w:ilvl="3">
      <w:start w:val="1"/>
      <w:numFmt w:val="decimal"/>
      <w:lvlText w:val="%4."/>
      <w:lvlJc w:val="left"/>
      <w:pPr>
        <w:ind w:left="1760" w:hanging="440"/>
      </w:pPr>
      <w:rPr/>
    </w:lvl>
    <w:lvl w:ilvl="4">
      <w:start w:val="1"/>
      <w:numFmt w:val="upperLetter"/>
      <w:lvlText w:val="%5."/>
      <w:lvlJc w:val="left"/>
      <w:pPr>
        <w:ind w:left="2200" w:hanging="440"/>
      </w:pPr>
      <w:rPr/>
    </w:lvl>
    <w:lvl w:ilvl="5">
      <w:start w:val="1"/>
      <w:numFmt w:val="lowerRoman"/>
      <w:lvlText w:val="%6."/>
      <w:lvlJc w:val="right"/>
      <w:pPr>
        <w:ind w:left="2640" w:hanging="440"/>
      </w:pPr>
      <w:rPr/>
    </w:lvl>
    <w:lvl w:ilvl="6">
      <w:start w:val="1"/>
      <w:numFmt w:val="decimal"/>
      <w:lvlText w:val="%7."/>
      <w:lvlJc w:val="left"/>
      <w:pPr>
        <w:ind w:left="3080" w:hanging="440"/>
      </w:pPr>
      <w:rPr/>
    </w:lvl>
    <w:lvl w:ilvl="7">
      <w:start w:val="1"/>
      <w:numFmt w:val="upperLetter"/>
      <w:lvlText w:val="%8."/>
      <w:lvlJc w:val="left"/>
      <w:pPr>
        <w:ind w:left="3520" w:hanging="440"/>
      </w:pPr>
      <w:rPr/>
    </w:lvl>
    <w:lvl w:ilvl="8">
      <w:start w:val="1"/>
      <w:numFmt w:val="lowerRoman"/>
      <w:lvlText w:val="%9."/>
      <w:lvlJc w:val="right"/>
      <w:pPr>
        <w:ind w:left="3960" w:hanging="44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0FBD"/>
    <w:pPr>
      <w:spacing w:after="0" w:line="240" w:lineRule="auto"/>
      <w:jc w:val="left"/>
    </w:pPr>
    <w:rPr>
      <w:kern w:val="0"/>
      <w:sz w:val="24"/>
      <w:szCs w:val="24"/>
      <w:lang w:eastAsia="en-US"/>
    </w:rPr>
  </w:style>
  <w:style w:type="paragraph" w:styleId="3">
    <w:name w:val="heading 3"/>
    <w:basedOn w:val="a"/>
    <w:link w:val="3Char"/>
    <w:uiPriority w:val="9"/>
    <w:qFormat w:val="1"/>
    <w:rsid w:val="00821215"/>
    <w:pPr>
      <w:spacing w:after="100" w:afterAutospacing="1" w:before="100" w:beforeAutospacing="1"/>
      <w:outlineLvl w:val="2"/>
    </w:pPr>
    <w:rPr>
      <w:rFonts w:ascii="굴림" w:cs="굴림" w:eastAsia="굴림" w:hAnsi="굴림"/>
      <w:b w:val="1"/>
      <w:bCs w:val="1"/>
      <w:sz w:val="27"/>
      <w:szCs w:val="27"/>
      <w:lang w:eastAsia="ko-KR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70FBD"/>
    <w:pPr>
      <w:ind w:left="720"/>
      <w:contextualSpacing w:val="1"/>
    </w:pPr>
  </w:style>
  <w:style w:type="table" w:styleId="a4">
    <w:name w:val="Table Grid"/>
    <w:basedOn w:val="a1"/>
    <w:uiPriority w:val="59"/>
    <w:rsid w:val="00D70FBD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header"/>
    <w:basedOn w:val="a"/>
    <w:link w:val="Char"/>
    <w:uiPriority w:val="99"/>
    <w:unhideWhenUsed w:val="1"/>
    <w:rsid w:val="003A3B3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3A3B3E"/>
    <w:rPr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 w:val="1"/>
    <w:rsid w:val="003A3B3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3A3B3E"/>
    <w:rPr>
      <w:kern w:val="0"/>
      <w:sz w:val="24"/>
      <w:szCs w:val="24"/>
      <w:lang w:eastAsia="en-US"/>
    </w:rPr>
  </w:style>
  <w:style w:type="character" w:styleId="a7">
    <w:name w:val="annotation reference"/>
    <w:basedOn w:val="a0"/>
    <w:uiPriority w:val="99"/>
    <w:semiHidden w:val="1"/>
    <w:unhideWhenUsed w:val="1"/>
    <w:rsid w:val="00B52128"/>
    <w:rPr>
      <w:sz w:val="18"/>
      <w:szCs w:val="18"/>
    </w:rPr>
  </w:style>
  <w:style w:type="paragraph" w:styleId="a8">
    <w:name w:val="annotation text"/>
    <w:basedOn w:val="a"/>
    <w:link w:val="Char1"/>
    <w:uiPriority w:val="99"/>
    <w:unhideWhenUsed w:val="1"/>
    <w:rsid w:val="00B52128"/>
  </w:style>
  <w:style w:type="character" w:styleId="Char1" w:customStyle="1">
    <w:name w:val="메모 텍스트 Char"/>
    <w:basedOn w:val="a0"/>
    <w:link w:val="a8"/>
    <w:uiPriority w:val="99"/>
    <w:rsid w:val="00B52128"/>
    <w:rPr>
      <w:kern w:val="0"/>
      <w:sz w:val="24"/>
      <w:szCs w:val="24"/>
      <w:lang w:eastAsia="en-US"/>
    </w:rPr>
  </w:style>
  <w:style w:type="paragraph" w:styleId="a9">
    <w:name w:val="annotation subject"/>
    <w:basedOn w:val="a8"/>
    <w:next w:val="a8"/>
    <w:link w:val="Char2"/>
    <w:uiPriority w:val="99"/>
    <w:semiHidden w:val="1"/>
    <w:unhideWhenUsed w:val="1"/>
    <w:rsid w:val="00B52128"/>
    <w:rPr>
      <w:b w:val="1"/>
      <w:bCs w:val="1"/>
    </w:rPr>
  </w:style>
  <w:style w:type="character" w:styleId="Char2" w:customStyle="1">
    <w:name w:val="메모 주제 Char"/>
    <w:basedOn w:val="Char1"/>
    <w:link w:val="a9"/>
    <w:uiPriority w:val="99"/>
    <w:semiHidden w:val="1"/>
    <w:rsid w:val="00B52128"/>
    <w:rPr>
      <w:b w:val="1"/>
      <w:bCs w:val="1"/>
      <w:kern w:val="0"/>
      <w:sz w:val="24"/>
      <w:szCs w:val="24"/>
      <w:lang w:eastAsia="en-US"/>
    </w:rPr>
  </w:style>
  <w:style w:type="paragraph" w:styleId="seviceprovisiontext02" w:customStyle="1">
    <w:name w:val="seviceprovision_text02"/>
    <w:basedOn w:val="a"/>
    <w:rsid w:val="004014DE"/>
    <w:pPr>
      <w:spacing w:after="100" w:afterAutospacing="1" w:before="100" w:beforeAutospacing="1"/>
    </w:pPr>
    <w:rPr>
      <w:rFonts w:ascii="굴림" w:cs="굴림" w:eastAsia="굴림" w:hAnsi="굴림"/>
      <w:lang w:eastAsia="ko-KR"/>
    </w:rPr>
  </w:style>
  <w:style w:type="paragraph" w:styleId="aa">
    <w:name w:val="Normal (Web)"/>
    <w:basedOn w:val="a"/>
    <w:uiPriority w:val="99"/>
    <w:semiHidden w:val="1"/>
    <w:unhideWhenUsed w:val="1"/>
    <w:rsid w:val="006D0C30"/>
    <w:pPr>
      <w:spacing w:after="100" w:afterAutospacing="1" w:before="100" w:beforeAutospacing="1"/>
    </w:pPr>
    <w:rPr>
      <w:rFonts w:ascii="굴림" w:cs="굴림" w:eastAsia="굴림" w:hAnsi="굴림"/>
      <w:lang w:eastAsia="ko-KR"/>
    </w:rPr>
  </w:style>
  <w:style w:type="character" w:styleId="3Char" w:customStyle="1">
    <w:name w:val="제목 3 Char"/>
    <w:basedOn w:val="a0"/>
    <w:link w:val="3"/>
    <w:uiPriority w:val="9"/>
    <w:rsid w:val="00821215"/>
    <w:rPr>
      <w:rFonts w:ascii="굴림" w:cs="굴림" w:eastAsia="굴림" w:hAnsi="굴림"/>
      <w:b w:val="1"/>
      <w:bCs w:val="1"/>
      <w:kern w:val="0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ac+R+HF4897ymhna7qgunM5b4w==">CgMxLjAaJAoBMBIfCh0IB0IZCgVBcmlhbBIQQXJpYWwgVW5pY29kZSBNUxokCgExEh8KHQgHQhkKBUFyaWFsEhBBcmlhbCBVbmljb2RlIE1TGiQKATISHwodCAdCGQoFQXJpYWwSEEFyaWFsIFVuaWNvZGUgTVMaJAoBMxIfCh0IB0IZCgVBcmlhbBIQQXJpYWwgVW5pY29kZSBNUzgAciExSlYyd3pxMHFpRzVWaW5BQkpFMk1iWXU1Y3ZyZXRaTFc=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2023-07-26T06:52:00Z</dcterms:created>
  <dc:creator>성훈</dc:creator>
</cp:coreProperties>
</file>