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FAF28E" w14:textId="3024886C" w:rsidR="009D75BB" w:rsidRPr="00376102" w:rsidRDefault="00376102" w:rsidP="00376102">
      <w:pPr>
        <w:spacing w:line="360" w:lineRule="auto"/>
        <w:rPr>
          <w:rFonts w:ascii="Times New Roman" w:hAnsi="Times New Roman" w:cs="Times New Roman"/>
        </w:rPr>
      </w:pPr>
      <w:r w:rsidRPr="00170632">
        <w:rPr>
          <w:rFonts w:ascii="Times New Roman" w:hAnsi="Times New Roman" w:cs="Times New Roman"/>
          <w:b/>
          <w:bCs/>
        </w:rPr>
        <w:t>Appendix 2.</w:t>
      </w:r>
      <w:r w:rsidRPr="00376102">
        <w:rPr>
          <w:rFonts w:ascii="Times New Roman" w:hAnsi="Times New Roman" w:cs="Times New Roman"/>
        </w:rPr>
        <w:t xml:space="preserve"> </w:t>
      </w:r>
      <w:r w:rsidR="00642995">
        <w:rPr>
          <w:rFonts w:ascii="Times New Roman" w:hAnsi="Times New Roman" w:cs="Times New Roman"/>
        </w:rPr>
        <w:t>Projected e</w:t>
      </w:r>
      <w:r w:rsidRPr="00376102">
        <w:rPr>
          <w:rFonts w:ascii="Times New Roman" w:hAnsi="Times New Roman" w:cs="Times New Roman"/>
        </w:rPr>
        <w:t>nvironmental variables under climate change</w:t>
      </w:r>
      <w:r w:rsidR="00642995">
        <w:rPr>
          <w:rFonts w:ascii="Times New Roman" w:hAnsi="Times New Roman" w:cs="Times New Roman"/>
        </w:rPr>
        <w:t>.</w:t>
      </w:r>
    </w:p>
    <w:p w14:paraId="3F50D1DA" w14:textId="17ED63DD" w:rsidR="00376102" w:rsidRPr="00376102" w:rsidRDefault="00376102" w:rsidP="00376102">
      <w:pPr>
        <w:spacing w:line="360" w:lineRule="auto"/>
        <w:rPr>
          <w:rFonts w:ascii="Times New Roman" w:hAnsi="Times New Roman" w:cs="Times New Roman"/>
        </w:rPr>
      </w:pPr>
    </w:p>
    <w:p w14:paraId="3345905F" w14:textId="77777777" w:rsidR="00376102" w:rsidRPr="00376102" w:rsidRDefault="00376102" w:rsidP="00376102">
      <w:pPr>
        <w:spacing w:line="360" w:lineRule="auto"/>
        <w:rPr>
          <w:rFonts w:ascii="Times New Roman" w:hAnsi="Times New Roman" w:cs="Times New Roman"/>
          <w:color w:val="000000" w:themeColor="text1"/>
        </w:rPr>
      </w:pPr>
      <w:r w:rsidRPr="00376102">
        <w:rPr>
          <w:rFonts w:ascii="Times New Roman" w:hAnsi="Times New Roman" w:cs="Times New Roman"/>
          <w:noProof/>
        </w:rPr>
        <w:drawing>
          <wp:inline distT="0" distB="0" distL="0" distR="0" wp14:anchorId="040134F1" wp14:editId="3D58C450">
            <wp:extent cx="5943600" cy="475488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HC_Environ_Sup.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r w:rsidRPr="00376102">
        <w:rPr>
          <w:rFonts w:ascii="Times New Roman" w:hAnsi="Times New Roman" w:cs="Times New Roman"/>
          <w:color w:val="000000" w:themeColor="text1"/>
        </w:rPr>
        <w:t xml:space="preserve"> </w:t>
      </w:r>
    </w:p>
    <w:p w14:paraId="0DFDC69D" w14:textId="1D7CCBE9" w:rsidR="00424D7C" w:rsidRPr="00376102" w:rsidRDefault="00376102" w:rsidP="00376102">
      <w:pPr>
        <w:spacing w:line="360" w:lineRule="auto"/>
        <w:rPr>
          <w:rFonts w:ascii="Times New Roman" w:hAnsi="Times New Roman" w:cs="Times New Roman"/>
          <w:color w:val="000000" w:themeColor="text1"/>
        </w:rPr>
      </w:pPr>
      <w:r w:rsidRPr="00376102">
        <w:rPr>
          <w:rFonts w:ascii="Times New Roman" w:hAnsi="Times New Roman" w:cs="Times New Roman"/>
          <w:b/>
          <w:bCs/>
          <w:color w:val="000000" w:themeColor="text1"/>
        </w:rPr>
        <w:t>Fig A2.1.</w:t>
      </w:r>
      <w:r w:rsidRPr="00376102">
        <w:rPr>
          <w:rFonts w:ascii="Times New Roman" w:hAnsi="Times New Roman" w:cs="Times New Roman"/>
          <w:color w:val="000000" w:themeColor="text1"/>
        </w:rPr>
        <w:t xml:space="preserve"> Projected environmental variables under climate change from 2010 to 2010 for Arctic regions of the IPHC (</w:t>
      </w:r>
      <w:r w:rsidR="00BE31C5">
        <w:rPr>
          <w:rFonts w:ascii="Times New Roman" w:hAnsi="Times New Roman" w:cs="Times New Roman"/>
          <w:color w:val="000000" w:themeColor="text1"/>
        </w:rPr>
        <w:t>Top:</w:t>
      </w:r>
      <w:r w:rsidRPr="00376102">
        <w:rPr>
          <w:rFonts w:ascii="Times New Roman" w:hAnsi="Times New Roman" w:cs="Times New Roman"/>
          <w:color w:val="000000" w:themeColor="text1"/>
        </w:rPr>
        <w:t>4D</w:t>
      </w:r>
      <w:r w:rsidR="00BE31C5">
        <w:rPr>
          <w:rFonts w:ascii="Times New Roman" w:hAnsi="Times New Roman" w:cs="Times New Roman"/>
          <w:color w:val="000000" w:themeColor="text1"/>
        </w:rPr>
        <w:t>, Bottom, 4</w:t>
      </w:r>
      <w:r w:rsidRPr="00376102">
        <w:rPr>
          <w:rFonts w:ascii="Times New Roman" w:hAnsi="Times New Roman" w:cs="Times New Roman"/>
          <w:color w:val="000000" w:themeColor="text1"/>
        </w:rPr>
        <w:t>E). The solid line represents the average of all three ESMs and the shaded area represents the model’s uncertainty (</w:t>
      </w:r>
      <w:proofErr w:type="spellStart"/>
      <w:r w:rsidRPr="00376102">
        <w:rPr>
          <w:rFonts w:ascii="Times New Roman" w:hAnsi="Times New Roman" w:cs="Times New Roman"/>
          <w:color w:val="000000" w:themeColor="text1"/>
        </w:rPr>
        <w:t>s.d.</w:t>
      </w:r>
      <w:proofErr w:type="spellEnd"/>
      <w:r w:rsidRPr="00376102">
        <w:rPr>
          <w:rFonts w:ascii="Times New Roman" w:hAnsi="Times New Roman" w:cs="Times New Roman"/>
          <w:color w:val="000000" w:themeColor="text1"/>
        </w:rPr>
        <w:t>).</w:t>
      </w:r>
    </w:p>
    <w:p w14:paraId="091CDC8C" w14:textId="357F08E3" w:rsidR="00376102" w:rsidRPr="00376102" w:rsidRDefault="00376102" w:rsidP="00376102">
      <w:pPr>
        <w:spacing w:line="360" w:lineRule="auto"/>
        <w:rPr>
          <w:rFonts w:ascii="Times New Roman" w:hAnsi="Times New Roman" w:cs="Times New Roman"/>
        </w:rPr>
      </w:pPr>
    </w:p>
    <w:p w14:paraId="3208EC63" w14:textId="77777777" w:rsidR="00376102" w:rsidRPr="00376102" w:rsidRDefault="00376102" w:rsidP="00376102">
      <w:pPr>
        <w:spacing w:line="360" w:lineRule="auto"/>
        <w:rPr>
          <w:rFonts w:ascii="Times New Roman" w:hAnsi="Times New Roman" w:cs="Times New Roman"/>
        </w:rPr>
      </w:pPr>
      <w:r w:rsidRPr="00376102">
        <w:rPr>
          <w:rFonts w:ascii="Times New Roman" w:hAnsi="Times New Roman" w:cs="Times New Roman"/>
          <w:noProof/>
        </w:rPr>
        <w:lastRenderedPageBreak/>
        <w:drawing>
          <wp:inline distT="0" distB="0" distL="0" distR="0" wp14:anchorId="0354D0CE" wp14:editId="67DB24B5">
            <wp:extent cx="4470400" cy="469900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27 at 11.32.06.png"/>
                    <pic:cNvPicPr/>
                  </pic:nvPicPr>
                  <pic:blipFill>
                    <a:blip r:embed="rId5">
                      <a:extLst>
                        <a:ext uri="{28A0092B-C50C-407E-A947-70E740481C1C}">
                          <a14:useLocalDpi xmlns:a14="http://schemas.microsoft.com/office/drawing/2010/main" val="0"/>
                        </a:ext>
                      </a:extLst>
                    </a:blip>
                    <a:stretch>
                      <a:fillRect/>
                    </a:stretch>
                  </pic:blipFill>
                  <pic:spPr>
                    <a:xfrm>
                      <a:off x="0" y="0"/>
                      <a:ext cx="4470400" cy="4699000"/>
                    </a:xfrm>
                    <a:prstGeom prst="rect">
                      <a:avLst/>
                    </a:prstGeom>
                  </pic:spPr>
                </pic:pic>
              </a:graphicData>
            </a:graphic>
          </wp:inline>
        </w:drawing>
      </w:r>
    </w:p>
    <w:p w14:paraId="1B616B0F" w14:textId="19956A41" w:rsidR="00376102" w:rsidRPr="00376102" w:rsidRDefault="00376102" w:rsidP="00376102">
      <w:pPr>
        <w:spacing w:line="360" w:lineRule="auto"/>
        <w:rPr>
          <w:rFonts w:ascii="Times New Roman" w:hAnsi="Times New Roman" w:cs="Times New Roman"/>
          <w:iCs/>
          <w:color w:val="000000" w:themeColor="text1"/>
        </w:rPr>
      </w:pPr>
      <w:r w:rsidRPr="00376102">
        <w:rPr>
          <w:rFonts w:ascii="Times New Roman" w:hAnsi="Times New Roman" w:cs="Times New Roman"/>
          <w:b/>
          <w:bCs/>
        </w:rPr>
        <w:t>Fig. A2.2.</w:t>
      </w:r>
      <w:r w:rsidRPr="00376102">
        <w:rPr>
          <w:rFonts w:ascii="Times New Roman" w:hAnsi="Times New Roman" w:cs="Times New Roman"/>
        </w:rPr>
        <w:t xml:space="preserve"> </w:t>
      </w:r>
      <w:r w:rsidRPr="00376102">
        <w:rPr>
          <w:rFonts w:ascii="Times New Roman" w:hAnsi="Times New Roman" w:cs="Times New Roman"/>
          <w:iCs/>
          <w:color w:val="000000" w:themeColor="text1"/>
        </w:rPr>
        <w:t>Depth profile (A) and bottom water warming of the Gulf of Maine. Everything deeper than 1000 meters is colored in green. B) Percentage change of bottom temperature relative to the present showing more intense warming in northern regions, especially under a high emission climate change scenario.</w:t>
      </w:r>
    </w:p>
    <w:p w14:paraId="6584C866" w14:textId="141A0453" w:rsidR="00376102" w:rsidRPr="00376102" w:rsidRDefault="00376102" w:rsidP="00376102">
      <w:pPr>
        <w:spacing w:line="360" w:lineRule="auto"/>
        <w:rPr>
          <w:rFonts w:ascii="Times New Roman" w:hAnsi="Times New Roman" w:cs="Times New Roman"/>
        </w:rPr>
      </w:pPr>
    </w:p>
    <w:p w14:paraId="4524AD48" w14:textId="626BE965" w:rsidR="00376102" w:rsidRDefault="00376102" w:rsidP="00376102">
      <w:pPr>
        <w:spacing w:line="360" w:lineRule="auto"/>
        <w:rPr>
          <w:rFonts w:ascii="Times New Roman" w:hAnsi="Times New Roman" w:cs="Times New Roman"/>
          <w:iCs/>
          <w:color w:val="000000" w:themeColor="text1"/>
        </w:rPr>
      </w:pPr>
      <w:r w:rsidRPr="00376102">
        <w:rPr>
          <w:rFonts w:ascii="Times New Roman" w:hAnsi="Times New Roman" w:cs="Times New Roman"/>
          <w:noProof/>
          <w:color w:val="000000" w:themeColor="text1"/>
        </w:rPr>
        <w:lastRenderedPageBreak/>
        <w:drawing>
          <wp:inline distT="0" distB="0" distL="0" distR="0" wp14:anchorId="45ACF4FB" wp14:editId="173F1BED">
            <wp:extent cx="5943600" cy="424561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CP_Cnhg_Mid_GoM_Outli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376102">
        <w:rPr>
          <w:rFonts w:ascii="Times New Roman" w:hAnsi="Times New Roman" w:cs="Times New Roman"/>
          <w:color w:val="000000" w:themeColor="text1"/>
        </w:rPr>
        <w:br/>
      </w:r>
      <w:r w:rsidRPr="00376102">
        <w:rPr>
          <w:rFonts w:ascii="Times New Roman" w:hAnsi="Times New Roman" w:cs="Times New Roman"/>
          <w:b/>
          <w:bCs/>
          <w:iCs/>
          <w:color w:val="000000" w:themeColor="text1"/>
        </w:rPr>
        <w:t>Fig A2.3.</w:t>
      </w:r>
      <w:r w:rsidRPr="00376102">
        <w:rPr>
          <w:rFonts w:ascii="Times New Roman" w:hAnsi="Times New Roman" w:cs="Times New Roman"/>
          <w:iCs/>
          <w:color w:val="000000" w:themeColor="text1"/>
        </w:rPr>
        <w:t xml:space="preserve"> Changes in maximum catch potential of yellowtail flounder (</w:t>
      </w:r>
      <w:proofErr w:type="spellStart"/>
      <w:r w:rsidRPr="00376102">
        <w:rPr>
          <w:rFonts w:ascii="Times New Roman" w:hAnsi="Times New Roman" w:cs="Times New Roman"/>
          <w:i/>
          <w:iCs/>
          <w:color w:val="000000" w:themeColor="text1"/>
        </w:rPr>
        <w:t>Limanda</w:t>
      </w:r>
      <w:proofErr w:type="spellEnd"/>
      <w:r w:rsidRPr="00376102">
        <w:rPr>
          <w:rFonts w:ascii="Times New Roman" w:hAnsi="Times New Roman" w:cs="Times New Roman"/>
          <w:i/>
          <w:iCs/>
          <w:color w:val="000000" w:themeColor="text1"/>
        </w:rPr>
        <w:t xml:space="preserve"> </w:t>
      </w:r>
      <w:proofErr w:type="spellStart"/>
      <w:r w:rsidRPr="00376102">
        <w:rPr>
          <w:rFonts w:ascii="Times New Roman" w:hAnsi="Times New Roman" w:cs="Times New Roman"/>
          <w:i/>
          <w:iCs/>
          <w:color w:val="000000" w:themeColor="text1"/>
        </w:rPr>
        <w:t>ferruginea</w:t>
      </w:r>
      <w:proofErr w:type="spellEnd"/>
      <w:r w:rsidRPr="00376102">
        <w:rPr>
          <w:rFonts w:ascii="Times New Roman" w:hAnsi="Times New Roman" w:cs="Times New Roman"/>
          <w:color w:val="000000" w:themeColor="text1"/>
        </w:rPr>
        <w:t xml:space="preserve">) </w:t>
      </w:r>
      <w:r w:rsidRPr="00376102">
        <w:rPr>
          <w:rFonts w:ascii="Times New Roman" w:hAnsi="Times New Roman" w:cs="Times New Roman"/>
          <w:iCs/>
          <w:color w:val="000000" w:themeColor="text1"/>
        </w:rPr>
        <w:t>within the study area by mid-century relative to present time. Results for the three global circulation models (GFDL, IPSL, MPIS) used in the current study and two climate change scenarios (</w:t>
      </w:r>
      <w:r w:rsidR="00BE31C5">
        <w:rPr>
          <w:rFonts w:ascii="Times New Roman" w:hAnsi="Times New Roman" w:cs="Times New Roman"/>
          <w:iCs/>
          <w:color w:val="000000" w:themeColor="text1"/>
        </w:rPr>
        <w:t xml:space="preserve">Top: </w:t>
      </w:r>
      <w:r w:rsidRPr="00376102">
        <w:rPr>
          <w:rFonts w:ascii="Times New Roman" w:hAnsi="Times New Roman" w:cs="Times New Roman"/>
          <w:iCs/>
          <w:color w:val="000000" w:themeColor="text1"/>
        </w:rPr>
        <w:t>High emission – RCP 8.5</w:t>
      </w:r>
      <w:r w:rsidR="00BE31C5">
        <w:rPr>
          <w:rFonts w:ascii="Times New Roman" w:hAnsi="Times New Roman" w:cs="Times New Roman"/>
          <w:iCs/>
          <w:color w:val="000000" w:themeColor="text1"/>
        </w:rPr>
        <w:t xml:space="preserve">, Bottom: </w:t>
      </w:r>
      <w:r w:rsidRPr="00376102">
        <w:rPr>
          <w:rFonts w:ascii="Times New Roman" w:hAnsi="Times New Roman" w:cs="Times New Roman"/>
          <w:iCs/>
          <w:color w:val="000000" w:themeColor="text1"/>
        </w:rPr>
        <w:t>Low Emission – RCP 2.6). Grid-cells marked in yellow represent discrete areas where average MCP is projected to increase by mid-century.</w:t>
      </w:r>
    </w:p>
    <w:p w14:paraId="59C7F7F6" w14:textId="67808F93" w:rsidR="00424D7C" w:rsidRDefault="00424D7C" w:rsidP="00376102">
      <w:pPr>
        <w:spacing w:line="360" w:lineRule="auto"/>
        <w:rPr>
          <w:rFonts w:ascii="Times New Roman" w:hAnsi="Times New Roman" w:cs="Times New Roman"/>
          <w:iCs/>
          <w:color w:val="000000" w:themeColor="text1"/>
        </w:rPr>
      </w:pPr>
    </w:p>
    <w:p w14:paraId="4A10FA3B" w14:textId="0FC62F7C" w:rsidR="00424D7C" w:rsidRPr="00424D7C" w:rsidRDefault="00424D7C" w:rsidP="00376102">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74C10F65" wp14:editId="53DF1060">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HC_Model_Uncer_Sup.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sidRPr="00424D7C">
        <w:rPr>
          <w:rFonts w:ascii="Times New Roman" w:hAnsi="Times New Roman" w:cs="Times New Roman"/>
        </w:rPr>
        <w:t xml:space="preserve"> </w:t>
      </w:r>
      <w:r w:rsidRPr="00424D7C">
        <w:rPr>
          <w:rFonts w:ascii="Times New Roman" w:hAnsi="Times New Roman" w:cs="Times New Roman"/>
          <w:b/>
          <w:bCs/>
        </w:rPr>
        <w:t>Fig</w:t>
      </w:r>
      <w:r w:rsidRPr="00424D7C">
        <w:rPr>
          <w:rFonts w:ascii="Times New Roman" w:hAnsi="Times New Roman" w:cs="Times New Roman"/>
          <w:b/>
          <w:bCs/>
        </w:rPr>
        <w:t xml:space="preserve"> A2.4</w:t>
      </w:r>
      <w:r>
        <w:rPr>
          <w:rFonts w:ascii="Times New Roman" w:hAnsi="Times New Roman" w:cs="Times New Roman"/>
          <w:b/>
          <w:bCs/>
        </w:rPr>
        <w:t xml:space="preserve">. </w:t>
      </w:r>
      <w:r>
        <w:rPr>
          <w:rFonts w:ascii="Times New Roman" w:hAnsi="Times New Roman" w:cs="Times New Roman"/>
        </w:rPr>
        <w:t>Projected max catch potential change relative to present (2005-2014) for each IPHC regulatory area. Colors represents the different ESM used in the study. Solid line represents a high emission scenario (RCP 8.5) and dashed line represents a low emission scenario (RCP 2.6)</w:t>
      </w:r>
    </w:p>
    <w:sectPr w:rsidR="00424D7C" w:rsidRPr="00424D7C" w:rsidSect="002C13B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102"/>
    <w:rsid w:val="00170632"/>
    <w:rsid w:val="002C13B2"/>
    <w:rsid w:val="00376102"/>
    <w:rsid w:val="00424D7C"/>
    <w:rsid w:val="00642995"/>
    <w:rsid w:val="009D75BB"/>
    <w:rsid w:val="00BE31C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5D51C3D0"/>
  <w15:chartTrackingRefBased/>
  <w15:docId w15:val="{83F248DA-2D52-D345-B1EE-35D1768D0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E31C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E31C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Pages>
  <Words>205</Words>
  <Characters>1175</Characters>
  <Application>Microsoft Office Word</Application>
  <DocSecurity>0</DocSecurity>
  <Lines>9</Lines>
  <Paragraphs>2</Paragraphs>
  <ScaleCrop>false</ScaleCrop>
  <Company/>
  <LinksUpToDate>false</LinksUpToDate>
  <CharactersWithSpaces>1378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2020-04-27T14:39:00Z</dcterms:created>
  <dcterms:modified xsi:type="dcterms:W3CDTF">2020-04-27T14:49:00Z</dcterms:modified>
</cp:coreProperties>
</file>