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307" w:rsidRPr="00DB6B0A" w:rsidRDefault="002A3560">
      <w:pPr>
        <w:rPr>
          <w:b/>
        </w:rPr>
      </w:pPr>
      <w:r w:rsidRPr="00DB6B0A">
        <w:rPr>
          <w:b/>
        </w:rPr>
        <w:t xml:space="preserve">Shifting species and ecosystems in response to climate change </w:t>
      </w:r>
      <w:r w:rsidR="00DB6B0A" w:rsidRPr="00DB6B0A">
        <w:rPr>
          <w:b/>
        </w:rPr>
        <w:t xml:space="preserve">- </w:t>
      </w:r>
      <w:r w:rsidRPr="00DB6B0A">
        <w:rPr>
          <w:b/>
        </w:rPr>
        <w:t>North Pacific Fisheries Commission</w:t>
      </w:r>
    </w:p>
    <w:p w:rsidR="00714FB7" w:rsidRDefault="00714FB7" w:rsidP="00714FB7">
      <w:pPr>
        <w:pStyle w:val="ListParagraph"/>
      </w:pPr>
    </w:p>
    <w:p w:rsidR="002A3560" w:rsidRPr="00715A44" w:rsidRDefault="00714FB7" w:rsidP="00714FB7">
      <w:pPr>
        <w:pStyle w:val="ListParagraph"/>
        <w:rPr>
          <w:u w:val="single"/>
        </w:rPr>
      </w:pPr>
      <w:r w:rsidRPr="00715A44">
        <w:rPr>
          <w:u w:val="single"/>
        </w:rPr>
        <w:t>History, Text of the Convention and Convention Area</w:t>
      </w:r>
    </w:p>
    <w:p w:rsidR="00714FB7" w:rsidRDefault="00714FB7" w:rsidP="00714FB7">
      <w:pPr>
        <w:pStyle w:val="ListParagraph"/>
      </w:pPr>
    </w:p>
    <w:p w:rsidR="00AD2C82" w:rsidRDefault="002A3560" w:rsidP="00AD2C82">
      <w:r>
        <w:t xml:space="preserve">The North </w:t>
      </w:r>
      <w:r w:rsidR="000C60F2">
        <w:t>Pacific Fisher</w:t>
      </w:r>
      <w:r w:rsidR="009A027B">
        <w:t>ies Commission (NPFC) is a relatively new</w:t>
      </w:r>
      <w:r w:rsidR="000C60F2">
        <w:t xml:space="preserve"> intergovernmental organization established</w:t>
      </w:r>
      <w:r w:rsidR="006B33DA">
        <w:t xml:space="preserve"> in 2015</w:t>
      </w:r>
      <w:r w:rsidR="000C60F2">
        <w:t xml:space="preserve"> by the Convention on the Conservation and Management of High Seas Fisheries Resources in the North Pacific</w:t>
      </w:r>
      <w:r w:rsidR="0059712C">
        <w:t xml:space="preserve"> (</w:t>
      </w:r>
      <w:bookmarkStart w:id="0" w:name="_GoBack"/>
      <w:bookmarkEnd w:id="0"/>
      <w:r w:rsidR="00C441CE" w:rsidRPr="00C441CE">
        <w:t>NPFC Convention</w:t>
      </w:r>
      <w:r w:rsidR="00C441CE">
        <w:t>)</w:t>
      </w:r>
      <w:r w:rsidR="00B35DBA">
        <w:t>. The consultation</w:t>
      </w:r>
      <w:r w:rsidR="000D2B3C">
        <w:t>s to establish the organization</w:t>
      </w:r>
      <w:r w:rsidR="00B35DBA">
        <w:t xml:space="preserve"> began in 2006 following the UN General Assembly (UNGA) resolution</w:t>
      </w:r>
      <w:r w:rsidR="007845DD">
        <w:t>s</w:t>
      </w:r>
      <w:r w:rsidR="00B35DBA">
        <w:t xml:space="preserve"> urging States to </w:t>
      </w:r>
      <w:r w:rsidR="006B33DA">
        <w:t>take action to protect vulnerable marine ecosystems (VMEs)</w:t>
      </w:r>
      <w:r w:rsidR="007845DD">
        <w:t xml:space="preserve"> in the deep sea</w:t>
      </w:r>
      <w:r w:rsidR="006B33DA">
        <w:t xml:space="preserve"> from destructive fishing practices </w:t>
      </w:r>
      <w:r w:rsidR="00F55640">
        <w:t>and ensure sustainability of deep sea fisheries</w:t>
      </w:r>
      <w:r w:rsidR="001718D5">
        <w:t xml:space="preserve"> (UNGA 2004, </w:t>
      </w:r>
      <w:r w:rsidR="00F42116">
        <w:t>2005, 2006 and Moon 2016)</w:t>
      </w:r>
      <w:r w:rsidR="006B33DA">
        <w:t>.</w:t>
      </w:r>
      <w:r w:rsidR="00B828B2">
        <w:t xml:space="preserve"> </w:t>
      </w:r>
      <w:r w:rsidR="0054766A">
        <w:t>The d</w:t>
      </w:r>
      <w:r w:rsidR="00F55640">
        <w:t>eep sea is</w:t>
      </w:r>
      <w:r w:rsidR="0054766A">
        <w:t xml:space="preserve"> the largest ecosystem on Earth</w:t>
      </w:r>
      <w:r w:rsidR="00F55640">
        <w:t xml:space="preserve"> </w:t>
      </w:r>
      <w:r w:rsidR="000D2B3C">
        <w:t xml:space="preserve">full of organisms that are still mysteries to science. </w:t>
      </w:r>
      <w:r w:rsidR="00F55640">
        <w:t>(</w:t>
      </w:r>
      <w:r w:rsidR="00DF76A2">
        <w:t>Rogers 2015</w:t>
      </w:r>
      <w:r w:rsidR="00F55640">
        <w:t>).</w:t>
      </w:r>
      <w:r w:rsidR="002B6F1F">
        <w:t xml:space="preserve"> But these species are particularly vulnerable to overexploitation due to their slow growth and maturation, long life expectancy, and intermittent recruitment (Glover and Smith 2003,</w:t>
      </w:r>
      <w:r w:rsidR="005131C0">
        <w:t xml:space="preserve"> </w:t>
      </w:r>
      <w:r w:rsidR="005131C0" w:rsidRPr="005131C0">
        <w:t xml:space="preserve">FAO </w:t>
      </w:r>
      <w:r w:rsidR="005131C0">
        <w:t>2009,</w:t>
      </w:r>
      <w:r w:rsidR="002B6F1F">
        <w:t xml:space="preserve"> Rogers 2015).</w:t>
      </w:r>
      <w:r w:rsidR="00AD2C82">
        <w:t xml:space="preserve">  </w:t>
      </w:r>
    </w:p>
    <w:p w:rsidR="00AD2C82" w:rsidRDefault="00AD2C82" w:rsidP="002A3560"/>
    <w:p w:rsidR="00714FB7" w:rsidRDefault="00714FB7" w:rsidP="00714FB7">
      <w:r>
        <w:t>NPFC covers “</w:t>
      </w:r>
      <w:r w:rsidRPr="001A1408">
        <w:t>waters of the high seas area of the North Pacific Ocean, excluding the high seas areas of the Bering Sea and other high seas areas that are surrounded by the exclusive economi</w:t>
      </w:r>
      <w:r>
        <w:t>c zone of a single St</w:t>
      </w:r>
      <w:r w:rsidR="0059712C">
        <w:t>ate</w:t>
      </w:r>
      <w:r>
        <w:t>”</w:t>
      </w:r>
      <w:r w:rsidR="0059712C">
        <w:t xml:space="preserve"> (NPFC Convention: article 4). </w:t>
      </w:r>
      <w:r>
        <w:t xml:space="preserve">The southern border follows approximately 20° north latitude and extends to around 10° north latitude around Hawaii (NPFC </w:t>
      </w:r>
      <w:proofErr w:type="spellStart"/>
      <w:r>
        <w:t>n.d.</w:t>
      </w:r>
      <w:proofErr w:type="spellEnd"/>
      <w:r>
        <w:t xml:space="preserve">). </w:t>
      </w:r>
    </w:p>
    <w:p w:rsidR="00714FB7" w:rsidRDefault="00714FB7" w:rsidP="00714FB7"/>
    <w:p w:rsidR="00714FB7" w:rsidRDefault="00714FB7" w:rsidP="00714FB7">
      <w:r>
        <w:t>NPFC’s objective is to “ensure the long-term conservation and sustainable use of the fisheries resources in the Convention Area while protecting the marine ecosystems of the North Pacific Ocean</w:t>
      </w:r>
      <w:r w:rsidR="0059712C">
        <w:t xml:space="preserve"> in which these resources occur</w:t>
      </w:r>
      <w:r>
        <w:t>”</w:t>
      </w:r>
      <w:r w:rsidR="0059712C">
        <w:t xml:space="preserve"> </w:t>
      </w:r>
      <w:r w:rsidR="0059712C">
        <w:t>(NPFC Convention:</w:t>
      </w:r>
      <w:r w:rsidR="0059712C">
        <w:t xml:space="preserve"> article 2</w:t>
      </w:r>
      <w:r w:rsidR="0059712C">
        <w:t>)</w:t>
      </w:r>
      <w:r w:rsidR="0059712C">
        <w:t>.</w:t>
      </w:r>
      <w:r>
        <w:t xml:space="preserve"> </w:t>
      </w:r>
      <w:r w:rsidR="00D10ADF">
        <w:t xml:space="preserve">Management and conservation measures </w:t>
      </w:r>
      <w:r w:rsidR="005131C0">
        <w:t>are to be adopted and implemented in accordance with the precautionary approach and an ecosystem approach to fisheries, as well as the FAO International Guidelines for the Management of Deep-Sea Fisheries on the High Seas (FAO Deep-Sea Guidelines</w:t>
      </w:r>
      <w:r w:rsidR="00526175">
        <w:t>, NPFC Convention article 3</w:t>
      </w:r>
      <w:r w:rsidR="005131C0">
        <w:t>).</w:t>
      </w:r>
    </w:p>
    <w:p w:rsidR="00C42B3E" w:rsidRDefault="00C42B3E" w:rsidP="002A3560"/>
    <w:p w:rsidR="00714FB7" w:rsidRPr="00715A44" w:rsidRDefault="00714FB7" w:rsidP="002A3560">
      <w:pPr>
        <w:rPr>
          <w:u w:val="single"/>
        </w:rPr>
      </w:pPr>
      <w:r>
        <w:tab/>
      </w:r>
      <w:r w:rsidRPr="00715A44">
        <w:rPr>
          <w:u w:val="single"/>
        </w:rPr>
        <w:t>Conservation Measures and Reporting</w:t>
      </w:r>
    </w:p>
    <w:p w:rsidR="00714FB7" w:rsidRDefault="00714FB7" w:rsidP="002A3560"/>
    <w:p w:rsidR="004B1368" w:rsidRDefault="006E0641" w:rsidP="004E20F6">
      <w:r>
        <w:t xml:space="preserve">NPFC adopted </w:t>
      </w:r>
      <w:r w:rsidR="00CC5B65">
        <w:t>Conservation and Management M</w:t>
      </w:r>
      <w:r>
        <w:t>easures (CMM) 2016-05</w:t>
      </w:r>
      <w:r w:rsidR="004B1368">
        <w:t xml:space="preserve"> for the n</w:t>
      </w:r>
      <w:r w:rsidR="00C22F31">
        <w:t>orthwest area</w:t>
      </w:r>
      <w:r>
        <w:t xml:space="preserve"> </w:t>
      </w:r>
      <w:r w:rsidR="00C22F31">
        <w:t>and</w:t>
      </w:r>
      <w:r w:rsidR="00CC5B65">
        <w:t xml:space="preserve"> 2016-06</w:t>
      </w:r>
      <w:r w:rsidR="004B1368">
        <w:t xml:space="preserve"> for the n</w:t>
      </w:r>
      <w:r w:rsidR="00C22F31">
        <w:t xml:space="preserve">ortheast area </w:t>
      </w:r>
      <w:r w:rsidR="00CC5B65">
        <w:t>implement</w:t>
      </w:r>
      <w:r>
        <w:t>ing</w:t>
      </w:r>
      <w:r w:rsidR="00CC5B65">
        <w:t xml:space="preserve"> the UNGA Resolutions and the FAO Deep-Sea </w:t>
      </w:r>
      <w:r w:rsidR="00DB6B0A">
        <w:t>Guidelines</w:t>
      </w:r>
      <w:r w:rsidR="00C22F31">
        <w:t>. The CMMs</w:t>
      </w:r>
      <w:r w:rsidR="00CC5B65">
        <w:t xml:space="preserve"> </w:t>
      </w:r>
      <w:r w:rsidR="00C22F31">
        <w:t>outline</w:t>
      </w:r>
      <w:r w:rsidR="0060104C">
        <w:t xml:space="preserve"> standards and criteria for identification of VMEs and assessment of significant adverse impact (SAI) on VM</w:t>
      </w:r>
      <w:r w:rsidR="00C22F31">
        <w:t>Es and marine species; provide</w:t>
      </w:r>
      <w:r w:rsidR="0060104C">
        <w:t xml:space="preserve"> exploratory fishery protocol for new fishing a</w:t>
      </w:r>
      <w:r w:rsidR="00C22F31">
        <w:t>reas and gear types; and list</w:t>
      </w:r>
      <w:r w:rsidR="0060104C">
        <w:t xml:space="preserve"> </w:t>
      </w:r>
      <w:r w:rsidR="00CC5B65">
        <w:t xml:space="preserve">VME indicator species, </w:t>
      </w:r>
      <w:r w:rsidR="00A31AF2">
        <w:t xml:space="preserve">the </w:t>
      </w:r>
      <w:r w:rsidR="00CC5B65">
        <w:t>enco</w:t>
      </w:r>
      <w:r w:rsidR="0060104C">
        <w:t>unter protocol and</w:t>
      </w:r>
      <w:r w:rsidR="00A31AF2">
        <w:t xml:space="preserve"> the</w:t>
      </w:r>
      <w:r w:rsidR="0060104C">
        <w:t xml:space="preserve"> move-on rule</w:t>
      </w:r>
      <w:r w:rsidR="00A90067">
        <w:t xml:space="preserve">. </w:t>
      </w:r>
    </w:p>
    <w:p w:rsidR="004B1368" w:rsidRDefault="004B1368" w:rsidP="004E20F6"/>
    <w:p w:rsidR="004915FA" w:rsidRDefault="003573A5" w:rsidP="00367458">
      <w:r>
        <w:t>For the n</w:t>
      </w:r>
      <w:r w:rsidR="004B1368">
        <w:t xml:space="preserve">orthwest region, the more intensely fished zone of the Convention area, parties agreed to limit their fishing effort to the level set in 2007 </w:t>
      </w:r>
      <w:r>
        <w:t xml:space="preserve">and to areas less than 1,500m deep; </w:t>
      </w:r>
      <w:r w:rsidR="004B1368">
        <w:t xml:space="preserve">and subject fisheries outside of </w:t>
      </w:r>
      <w:r>
        <w:t>the agreed upon historical footprint, fishing effort</w:t>
      </w:r>
      <w:r w:rsidR="00CF1C3A">
        <w:t>,</w:t>
      </w:r>
      <w:r>
        <w:t xml:space="preserve"> </w:t>
      </w:r>
      <w:r w:rsidR="00CF1C3A">
        <w:t>and depth</w:t>
      </w:r>
      <w:r w:rsidR="004B1368">
        <w:t xml:space="preserve"> to the exploratory fishery protocol (</w:t>
      </w:r>
      <w:r w:rsidR="00AE4282" w:rsidRPr="00AE4282">
        <w:t>Gianni et al. 2016</w:t>
      </w:r>
      <w:r w:rsidR="004B1368">
        <w:t>). They also instituted a closed season, a precautionary closure of certain seamounts, and mandatory observers.</w:t>
      </w:r>
      <w:r w:rsidR="00367458">
        <w:t xml:space="preserve"> </w:t>
      </w:r>
      <w:r w:rsidR="00CF1C3A">
        <w:t>For the n</w:t>
      </w:r>
      <w:r w:rsidR="00367458">
        <w:t>ortheast region</w:t>
      </w:r>
      <w:r w:rsidR="00A90067">
        <w:t>, parties agreed to</w:t>
      </w:r>
      <w:r w:rsidR="00697901">
        <w:t xml:space="preserve"> conduct </w:t>
      </w:r>
      <w:r w:rsidR="00367458">
        <w:t>SAI on VMEs and marine species by their fishing vessels operating in the area and to</w:t>
      </w:r>
      <w:r w:rsidR="00A90067">
        <w:t xml:space="preserve"> limit fishing</w:t>
      </w:r>
      <w:r w:rsidR="00367458">
        <w:t xml:space="preserve"> effort</w:t>
      </w:r>
      <w:r w:rsidR="00A90067">
        <w:t xml:space="preserve"> </w:t>
      </w:r>
      <w:r w:rsidR="00CF1C3A">
        <w:t xml:space="preserve">to </w:t>
      </w:r>
      <w:r w:rsidR="00A90067">
        <w:t>“the level of a historical average”</w:t>
      </w:r>
      <w:r w:rsidR="00A31AF2">
        <w:t xml:space="preserve"> to be agreed upon by consensus in the SC</w:t>
      </w:r>
      <w:r w:rsidR="00A90067">
        <w:t xml:space="preserve"> (CMM 2016-06: para 3(</w:t>
      </w:r>
      <w:proofErr w:type="spellStart"/>
      <w:r w:rsidR="00A90067">
        <w:t>i</w:t>
      </w:r>
      <w:proofErr w:type="spellEnd"/>
      <w:r w:rsidR="00A90067">
        <w:t xml:space="preserve">)). </w:t>
      </w:r>
    </w:p>
    <w:p w:rsidR="005F3BC3" w:rsidRDefault="005F3BC3" w:rsidP="00EA66BE"/>
    <w:p w:rsidR="00714FB7" w:rsidRDefault="00714FB7" w:rsidP="00714FB7">
      <w:r>
        <w:t>NPFC also has adopted two sp</w:t>
      </w:r>
      <w:r w:rsidR="00367458">
        <w:t>ecies-specific CMMs, CMM 15-02 for Pacific Saury</w:t>
      </w:r>
      <w:r>
        <w:t xml:space="preserve"> and 2016-07</w:t>
      </w:r>
      <w:r w:rsidR="00367458">
        <w:t xml:space="preserve"> for </w:t>
      </w:r>
      <w:r>
        <w:t xml:space="preserve">Chub </w:t>
      </w:r>
      <w:r w:rsidR="00367458">
        <w:t>Mackerel</w:t>
      </w:r>
      <w:r>
        <w:t xml:space="preserve">.  For Pacific Saury, members agreed to “refrain from rapid expansion” (para 1) of the number of fishing vessels until a stock assessment is conducted in 2017. They also agreed to adopt compatible measures in areas under national jurisdiction. Under the CMM for Chub Mackerel, members are “encouraged to </w:t>
      </w:r>
      <w:r w:rsidR="00526175">
        <w:t>refrain from expansion”</w:t>
      </w:r>
      <w:r>
        <w:t xml:space="preserve"> of the number </w:t>
      </w:r>
      <w:r w:rsidR="00367458">
        <w:t>of fishing vessels fishing for Chub M</w:t>
      </w:r>
      <w:r>
        <w:t>ackerel and adopt compatible measures in areas under national jurisdiction until further advice and recommendations from the SC</w:t>
      </w:r>
      <w:r w:rsidR="00526175">
        <w:t xml:space="preserve"> (CMM 2016-07: para 1)</w:t>
      </w:r>
      <w:r>
        <w:t>. Discussions are underway at</w:t>
      </w:r>
      <w:r w:rsidRPr="003E6A41">
        <w:t xml:space="preserve"> the Small Scientific Committee </w:t>
      </w:r>
      <w:r>
        <w:t xml:space="preserve">on a CMM for the </w:t>
      </w:r>
      <w:r w:rsidRPr="003E6A41">
        <w:t xml:space="preserve">North Pacific </w:t>
      </w:r>
      <w:proofErr w:type="spellStart"/>
      <w:r w:rsidRPr="003E6A41">
        <w:t>Armorhead</w:t>
      </w:r>
      <w:proofErr w:type="spellEnd"/>
      <w:r>
        <w:t xml:space="preserve"> (SCC-NCA 2016).</w:t>
      </w:r>
      <w:r w:rsidRPr="003E6A41">
        <w:t xml:space="preserve"> </w:t>
      </w:r>
    </w:p>
    <w:p w:rsidR="00714FB7" w:rsidRDefault="00714FB7" w:rsidP="00B828B2"/>
    <w:p w:rsidR="00D169B3" w:rsidRPr="00B828B2" w:rsidRDefault="00B828B2" w:rsidP="00D169B3">
      <w:pPr>
        <w:rPr>
          <w:highlight w:val="yellow"/>
        </w:rPr>
      </w:pPr>
      <w:r w:rsidRPr="00C766B7">
        <w:t>In 2016, NPFC reported on its activities at the UN workshop on implementation of the measures protecting VMEs from bottom fishing and ensuring sustainability of deep-sea fish stocks</w:t>
      </w:r>
      <w:r w:rsidR="00B92BFA">
        <w:t xml:space="preserve"> (UN 2016)</w:t>
      </w:r>
      <w:r w:rsidRPr="00C766B7">
        <w:t xml:space="preserve">. </w:t>
      </w:r>
      <w:r w:rsidR="005E09C3" w:rsidRPr="00C766B7">
        <w:t>Th</w:t>
      </w:r>
      <w:r w:rsidR="00F85A27">
        <w:t>e workshop brought together S</w:t>
      </w:r>
      <w:r w:rsidR="001C55CE" w:rsidRPr="00C766B7">
        <w:t>tates, RFMO/As</w:t>
      </w:r>
      <w:r w:rsidR="00F675A6">
        <w:t>,</w:t>
      </w:r>
      <w:r w:rsidR="001C55CE" w:rsidRPr="00C766B7">
        <w:t xml:space="preserve"> intergovernmental</w:t>
      </w:r>
      <w:r w:rsidR="00F675A6">
        <w:t>,</w:t>
      </w:r>
      <w:r w:rsidR="001C55CE" w:rsidRPr="00C766B7">
        <w:t xml:space="preserve"> and non-governmental organizations</w:t>
      </w:r>
      <w:r w:rsidR="00F85A27">
        <w:t>. P</w:t>
      </w:r>
      <w:r w:rsidR="005E09C3" w:rsidRPr="00C766B7">
        <w:t>articipants recognized</w:t>
      </w:r>
      <w:r w:rsidR="00650422" w:rsidRPr="00C766B7">
        <w:t xml:space="preserve"> </w:t>
      </w:r>
      <w:r w:rsidR="005E09C3" w:rsidRPr="00C766B7">
        <w:t>progress that was</w:t>
      </w:r>
      <w:r w:rsidR="00650422" w:rsidRPr="00C766B7">
        <w:t xml:space="preserve"> made to address these issues and </w:t>
      </w:r>
      <w:r w:rsidR="00F675A6">
        <w:t xml:space="preserve">identified scientific uncertainty and difficulties in obtaining the necessary scientific information as common challenges. </w:t>
      </w:r>
      <w:r w:rsidR="00D169B3" w:rsidRPr="00D169B3">
        <w:t>The next UNGA review of implementation is scheduled for 2020 (UNGA 2016).</w:t>
      </w:r>
      <w:r w:rsidR="00D169B3">
        <w:t xml:space="preserve"> </w:t>
      </w:r>
    </w:p>
    <w:p w:rsidR="0042735A" w:rsidRDefault="0042735A" w:rsidP="00B828B2"/>
    <w:p w:rsidR="00F675A6" w:rsidRDefault="0042735A" w:rsidP="00B828B2">
      <w:r>
        <w:t xml:space="preserve">An evaluation of the implementation of the UNGA resolutions by NPFC conducted </w:t>
      </w:r>
      <w:r w:rsidR="00E919D1">
        <w:t xml:space="preserve">by </w:t>
      </w:r>
      <w:r>
        <w:t>Deep Sea Conservation Coalition recognized</w:t>
      </w:r>
      <w:r w:rsidR="00E919D1">
        <w:t xml:space="preserve"> the</w:t>
      </w:r>
      <w:r>
        <w:t xml:space="preserve"> NPFC parties as some of the few flag states that completed </w:t>
      </w:r>
      <w:r w:rsidR="0061532B">
        <w:t xml:space="preserve">the required </w:t>
      </w:r>
      <w:r>
        <w:t>impact assessments</w:t>
      </w:r>
      <w:r w:rsidR="00E919D1">
        <w:t xml:space="preserve"> on VMEs </w:t>
      </w:r>
      <w:r w:rsidR="00E919D1" w:rsidRPr="00E919D1">
        <w:t>(Gianni et al. 2016).</w:t>
      </w:r>
      <w:r w:rsidR="00E919D1">
        <w:t xml:space="preserve"> However, the report</w:t>
      </w:r>
      <w:r w:rsidR="005C5670">
        <w:t xml:space="preserve"> raised concerns that the criteria for identifying VMEs was too narrow and the amount of coral brought up in a trawl may not be an accurate indicator of damage. It also </w:t>
      </w:r>
      <w:r w:rsidR="00E919D1">
        <w:t>noted that that less than 1 per cent of seamount areas at fishable depths are protected</w:t>
      </w:r>
      <w:r w:rsidR="005C5670">
        <w:t xml:space="preserve"> and stock assessments are lacking for target species. </w:t>
      </w:r>
    </w:p>
    <w:p w:rsidR="00D169B3" w:rsidRDefault="00D169B3" w:rsidP="00B828B2"/>
    <w:p w:rsidR="00D169B3" w:rsidRDefault="00D169B3" w:rsidP="00B828B2"/>
    <w:p w:rsidR="002A3560" w:rsidRPr="00715A44" w:rsidRDefault="002A3560" w:rsidP="00BB5DBA">
      <w:pPr>
        <w:ind w:left="360" w:firstLine="360"/>
        <w:rPr>
          <w:u w:val="single"/>
        </w:rPr>
      </w:pPr>
      <w:r w:rsidRPr="00715A44">
        <w:rPr>
          <w:u w:val="single"/>
        </w:rPr>
        <w:t>S</w:t>
      </w:r>
      <w:r w:rsidR="00370283" w:rsidRPr="00715A44">
        <w:rPr>
          <w:u w:val="single"/>
        </w:rPr>
        <w:t>cience providers</w:t>
      </w:r>
      <w:r w:rsidR="00714FB7" w:rsidRPr="00715A44">
        <w:rPr>
          <w:u w:val="single"/>
        </w:rPr>
        <w:t xml:space="preserve"> and Climate Change Considerations</w:t>
      </w:r>
    </w:p>
    <w:p w:rsidR="00F7757C" w:rsidRDefault="00F7757C" w:rsidP="002C615C"/>
    <w:p w:rsidR="005C411A" w:rsidRDefault="00F7757C" w:rsidP="00900213">
      <w:r>
        <w:t>The Commission relies on an internal science provider, the Scientific</w:t>
      </w:r>
      <w:r w:rsidR="009952E1">
        <w:t xml:space="preserve"> Commission</w:t>
      </w:r>
      <w:r>
        <w:t xml:space="preserve"> established by Article 6, for advice and recommendation</w:t>
      </w:r>
      <w:r w:rsidR="002A48CD">
        <w:t>s</w:t>
      </w:r>
      <w:r w:rsidR="008068D1">
        <w:t>. The</w:t>
      </w:r>
      <w:r w:rsidR="009952E1">
        <w:t xml:space="preserve"> </w:t>
      </w:r>
      <w:r>
        <w:t>SC has had its first</w:t>
      </w:r>
      <w:r w:rsidR="005C411A">
        <w:t xml:space="preserve"> meeting</w:t>
      </w:r>
      <w:r>
        <w:t xml:space="preserve"> in 2016</w:t>
      </w:r>
      <w:r w:rsidR="008068D1">
        <w:t>;</w:t>
      </w:r>
      <w:r w:rsidR="005C411A">
        <w:t xml:space="preserve"> its 5-year research plan</w:t>
      </w:r>
      <w:r w:rsidR="008068D1">
        <w:t>, currently under development,</w:t>
      </w:r>
      <w:r w:rsidR="005C411A">
        <w:t xml:space="preserve"> will be discussed at the next meeting in 2017</w:t>
      </w:r>
      <w:r w:rsidR="00C34D88">
        <w:t xml:space="preserve"> (SC-NPFC 2016)</w:t>
      </w:r>
      <w:r w:rsidR="005C411A">
        <w:t>.</w:t>
      </w:r>
    </w:p>
    <w:p w:rsidR="00900213" w:rsidRDefault="00900213" w:rsidP="00900213"/>
    <w:p w:rsidR="00792E8E" w:rsidRDefault="00AA3947" w:rsidP="00792E8E">
      <w:r>
        <w:t xml:space="preserve">To date, climate change considerations </w:t>
      </w:r>
      <w:r w:rsidR="00715A44">
        <w:t>have not been discussed at NPFC</w:t>
      </w:r>
      <w:r>
        <w:t xml:space="preserve">. </w:t>
      </w:r>
      <w:r w:rsidR="00EF4C4D">
        <w:t xml:space="preserve">The documents also do not mention if the models that will be used to conduct stock assessments incorporate climate change considerations. </w:t>
      </w:r>
      <w:r w:rsidR="001E4DA5">
        <w:t xml:space="preserve">This is despite the fact that scientists anticipate changes on the surface to impact </w:t>
      </w:r>
      <w:r w:rsidR="00792E8E">
        <w:t xml:space="preserve">deep water communities (Glover and Smith 2003, </w:t>
      </w:r>
      <w:proofErr w:type="spellStart"/>
      <w:r w:rsidR="00792E8E">
        <w:t>Polovina</w:t>
      </w:r>
      <w:proofErr w:type="spellEnd"/>
      <w:r w:rsidR="00792E8E">
        <w:t xml:space="preserve"> et al. 2008, Rogers 2015). Cold-water corals appear to be particularly vulnerable, since it is likely that they also are going to be negatively affected by ocean acidification (Rogers 2015). </w:t>
      </w:r>
    </w:p>
    <w:p w:rsidR="001E4DA5" w:rsidRDefault="001E4DA5" w:rsidP="004C732E"/>
    <w:p w:rsidR="00CF3F85" w:rsidRDefault="00191655" w:rsidP="004C732E">
      <w:r>
        <w:t>I</w:t>
      </w:r>
      <w:r w:rsidR="00597F5B">
        <w:t xml:space="preserve">ncorporating climate change considerations would not be inconsistent with the </w:t>
      </w:r>
      <w:r w:rsidR="008068D1">
        <w:t>UNGA r</w:t>
      </w:r>
      <w:r w:rsidR="00597F5B">
        <w:t>esolutions</w:t>
      </w:r>
      <w:r w:rsidR="008068D1">
        <w:t xml:space="preserve"> and FAO Guidelines</w:t>
      </w:r>
      <w:r w:rsidR="00597F5B">
        <w:t xml:space="preserve"> NPFC is trying to comply. </w:t>
      </w:r>
      <w:r w:rsidR="00EB3D2A">
        <w:t>Climate change was first mentioned in UNGA 62/177 welcoming FAO proposal to study key effects of climate change on fisheries and possible adaptations. The following year, in UNGA 63/1</w:t>
      </w:r>
      <w:r w:rsidR="008068D1">
        <w:t>12, the General Assembly began</w:t>
      </w:r>
      <w:r w:rsidR="00EB3D2A">
        <w:t xml:space="preserve"> to </w:t>
      </w:r>
      <w:r w:rsidR="00EB3D2A">
        <w:lastRenderedPageBreak/>
        <w:t>express concern over the possible adverse effects of climate change on sustainability of fisheries</w:t>
      </w:r>
      <w:r w:rsidR="007B63E6">
        <w:t xml:space="preserve"> and urged States to take action</w:t>
      </w:r>
      <w:r w:rsidR="00EB3D2A">
        <w:t xml:space="preserve">. </w:t>
      </w:r>
      <w:r w:rsidR="007B63E6">
        <w:t xml:space="preserve">It </w:t>
      </w:r>
      <w:r w:rsidR="00EB3D2A">
        <w:t>also</w:t>
      </w:r>
      <w:r w:rsidR="00725D21">
        <w:t xml:space="preserve"> took note of</w:t>
      </w:r>
      <w:r w:rsidR="007B63E6">
        <w:t xml:space="preserve"> the</w:t>
      </w:r>
      <w:r w:rsidR="00EB3D2A">
        <w:t xml:space="preserve"> FAO workshop of experts on impacts of climat</w:t>
      </w:r>
      <w:r w:rsidR="00725D21">
        <w:t>e change for fisheries which recommended that regional fisheries organizations “</w:t>
      </w:r>
      <w:r w:rsidR="00725D21" w:rsidRPr="005951B2">
        <w:t>place climate change awareness and response preparedness clearly on their agendas</w:t>
      </w:r>
      <w:r w:rsidR="00725D21">
        <w:t xml:space="preserve">” </w:t>
      </w:r>
      <w:r w:rsidR="00160B38">
        <w:t>(FAO 2008</w:t>
      </w:r>
      <w:r w:rsidR="007B63E6">
        <w:t>: 7</w:t>
      </w:r>
      <w:r w:rsidR="00160B38">
        <w:t>)</w:t>
      </w:r>
      <w:r w:rsidR="00725D21">
        <w:t>. In subsequent years, UNGA has reiterated its concern over effects of climate</w:t>
      </w:r>
      <w:r w:rsidR="007B63E6">
        <w:t xml:space="preserve"> change on fisheries and urged S</w:t>
      </w:r>
      <w:r w:rsidR="00725D21">
        <w:t xml:space="preserve">tates to </w:t>
      </w:r>
      <w:r w:rsidR="00DF7FC0">
        <w:t>assess and address impacts of climate change o</w:t>
      </w:r>
      <w:r w:rsidR="00F859DC">
        <w:t>n fisheries and hab</w:t>
      </w:r>
      <w:r w:rsidR="000473B6">
        <w:t>itats (UNGA 2009, 2011</w:t>
      </w:r>
      <w:r w:rsidR="001048E1">
        <w:t xml:space="preserve">). In </w:t>
      </w:r>
      <w:r w:rsidR="00E41DE4">
        <w:t>the latest r</w:t>
      </w:r>
      <w:r w:rsidR="004C732E">
        <w:t>esolution, the General A</w:t>
      </w:r>
      <w:r w:rsidR="00AE016C">
        <w:t>ssembly specifically asked</w:t>
      </w:r>
      <w:r w:rsidR="004C732E">
        <w:t xml:space="preserve"> States, individually and through RFMOs, to “take into account the potential impacts of climate change and ocean acidification in taking measures to manage deep –sea fisheries and protect vulnerable marine ecosystems” (</w:t>
      </w:r>
      <w:r w:rsidR="001048E1">
        <w:t>UNGA</w:t>
      </w:r>
      <w:r w:rsidR="00F859DC">
        <w:t xml:space="preserve"> </w:t>
      </w:r>
      <w:r w:rsidR="000473B6">
        <w:t>2016:</w:t>
      </w:r>
      <w:r w:rsidR="004C732E">
        <w:t xml:space="preserve"> para 185</w:t>
      </w:r>
      <w:r w:rsidR="00F859DC">
        <w:t>)</w:t>
      </w:r>
      <w:r w:rsidR="004C732E">
        <w:t xml:space="preserve">. </w:t>
      </w:r>
    </w:p>
    <w:p w:rsidR="00EF4C4D" w:rsidRDefault="00EF4C4D" w:rsidP="00900213"/>
    <w:p w:rsidR="00086892" w:rsidRDefault="00EF4C4D" w:rsidP="00900213">
      <w:r>
        <w:t>Based on Article 10</w:t>
      </w:r>
      <w:r w:rsidR="00526175">
        <w:t xml:space="preserve"> of the NPFC Convention</w:t>
      </w:r>
      <w:r>
        <w:t xml:space="preserve">, it falls within the responsibilities of the SC to identify climate change as a research issue and recommend a research plan. </w:t>
      </w:r>
      <w:r w:rsidR="00086892">
        <w:t xml:space="preserve">It is within the purview of the SC to </w:t>
      </w:r>
      <w:r w:rsidR="005B45C5">
        <w:t xml:space="preserve">make recommendations to the Commission to help achieve the objectives </w:t>
      </w:r>
      <w:r w:rsidR="00E41DE4">
        <w:t>of the Convention, which include</w:t>
      </w:r>
      <w:r w:rsidR="005B45C5">
        <w:t xml:space="preserve"> protection of the North Pacific ecosystems, and provide scientific </w:t>
      </w:r>
      <w:proofErr w:type="gramStart"/>
      <w:r w:rsidR="005B45C5">
        <w:t>advice</w:t>
      </w:r>
      <w:proofErr w:type="gramEnd"/>
      <w:r w:rsidR="005B45C5">
        <w:t xml:space="preserve"> it considers appropriate. </w:t>
      </w:r>
    </w:p>
    <w:p w:rsidR="005B45C5" w:rsidRDefault="005B45C5" w:rsidP="00900213"/>
    <w:p w:rsidR="00E41DE4" w:rsidRDefault="00E41DE4" w:rsidP="0054380D">
      <w:r>
        <w:t>One way to</w:t>
      </w:r>
      <w:r w:rsidR="00383247">
        <w:t xml:space="preserve"> incorporate climate change</w:t>
      </w:r>
      <w:r>
        <w:t xml:space="preserve"> considerations</w:t>
      </w:r>
      <w:r w:rsidR="00383247">
        <w:t xml:space="preserve"> is by </w:t>
      </w:r>
      <w:r>
        <w:t>making them</w:t>
      </w:r>
      <w:r w:rsidR="00ED5C20">
        <w:t xml:space="preserve"> a part of the criteria for identifying VMEs. The current criteria </w:t>
      </w:r>
      <w:r w:rsidR="00CA6252">
        <w:t>is based on the extent of alteration experienced by a population, commu</w:t>
      </w:r>
      <w:r w:rsidR="003141DD">
        <w:t>nity or habitat as a result of</w:t>
      </w:r>
      <w:r w:rsidR="00CA6252">
        <w:t xml:space="preserve"> fishing activity and h</w:t>
      </w:r>
      <w:r w:rsidR="003141DD">
        <w:t>ow long it will take to recover</w:t>
      </w:r>
      <w:r w:rsidR="00CA6252">
        <w:t xml:space="preserve"> </w:t>
      </w:r>
      <w:r w:rsidR="00CD3017">
        <w:t xml:space="preserve">(CMM </w:t>
      </w:r>
      <w:r w:rsidR="00CA6252">
        <w:t>2016-05</w:t>
      </w:r>
      <w:r w:rsidR="003141DD">
        <w:t>, 2016-06)</w:t>
      </w:r>
      <w:r w:rsidR="00ED5C20">
        <w:t xml:space="preserve">. </w:t>
      </w:r>
      <w:r w:rsidR="00E53B5E">
        <w:t xml:space="preserve">The SC has the authority to expand the criteria since </w:t>
      </w:r>
      <w:r w:rsidR="00ED5C20">
        <w:t>Article 10(4</w:t>
      </w:r>
      <w:proofErr w:type="gramStart"/>
      <w:r w:rsidR="00ED5C20">
        <w:t>)(</w:t>
      </w:r>
      <w:proofErr w:type="gramEnd"/>
      <w:r w:rsidR="00ED5C20">
        <w:t xml:space="preserve">c) tasks </w:t>
      </w:r>
      <w:r w:rsidR="00E53B5E">
        <w:t>it</w:t>
      </w:r>
      <w:r w:rsidR="00ED5C20">
        <w:t xml:space="preserve"> with </w:t>
      </w:r>
      <w:r w:rsidR="00E53B5E">
        <w:t xml:space="preserve">their </w:t>
      </w:r>
      <w:r w:rsidR="00ED5C20">
        <w:t>development</w:t>
      </w:r>
      <w:r w:rsidR="00FF3F9A">
        <w:t xml:space="preserve">. </w:t>
      </w:r>
    </w:p>
    <w:p w:rsidR="00E41DE4" w:rsidRDefault="00E41DE4" w:rsidP="0054380D"/>
    <w:p w:rsidR="001E4DA5" w:rsidRDefault="00A841A7" w:rsidP="001E4DA5">
      <w:r>
        <w:t>Another way to incorporate climate change considerations</w:t>
      </w:r>
      <w:r w:rsidR="001E4DA5">
        <w:t xml:space="preserve"> is through collaborations with other scientific organizations. Since t</w:t>
      </w:r>
      <w:r w:rsidR="00FF3F9A">
        <w:t>he SC is precluded from duplicating scientific work done by other organizations in the Convention area, it is allowed to exchange information with such organizations (</w:t>
      </w:r>
      <w:r w:rsidR="007E7E66">
        <w:t xml:space="preserve">NPFC Convention </w:t>
      </w:r>
      <w:r w:rsidR="007E7E66" w:rsidRPr="007E7E66">
        <w:t>article</w:t>
      </w:r>
      <w:r w:rsidR="00FF3F9A" w:rsidRPr="007E7E66">
        <w:t xml:space="preserve"> 10(5) and 10(6)).</w:t>
      </w:r>
      <w:r w:rsidR="00FF3F9A">
        <w:t xml:space="preserve"> </w:t>
      </w:r>
      <w:r w:rsidR="0054380D">
        <w:t>Collaborating wit</w:t>
      </w:r>
      <w:r w:rsidR="001E4DA5">
        <w:t xml:space="preserve">h PICES would be a logical step given that PICES’ area of interest overlaps with the NPFC Convention area. </w:t>
      </w:r>
    </w:p>
    <w:p w:rsidR="001E4DA5" w:rsidRDefault="001E4DA5" w:rsidP="0054380D"/>
    <w:p w:rsidR="00EF4C4D" w:rsidRDefault="00EF4C4D" w:rsidP="00900213"/>
    <w:p w:rsidR="00DB6B0A" w:rsidRPr="00E512C9" w:rsidRDefault="00715A44" w:rsidP="00DB6B0A">
      <w:pPr>
        <w:jc w:val="center"/>
        <w:rPr>
          <w:b/>
        </w:rPr>
      </w:pPr>
      <w:r>
        <w:rPr>
          <w:b/>
        </w:rPr>
        <w:t>Literature Cited</w:t>
      </w:r>
    </w:p>
    <w:p w:rsidR="007E7E66" w:rsidRDefault="007E7E66" w:rsidP="00DB6B0A"/>
    <w:p w:rsidR="00DB6B0A" w:rsidRDefault="00DB6B0A" w:rsidP="00DB6B0A">
      <w:proofErr w:type="gramStart"/>
      <w:r w:rsidRPr="00B81378">
        <w:t>Food and Agriculture Organization of the United Nations</w:t>
      </w:r>
      <w:r>
        <w:t xml:space="preserve"> (FAO).</w:t>
      </w:r>
      <w:proofErr w:type="gramEnd"/>
      <w:r>
        <w:t xml:space="preserve"> 2008. </w:t>
      </w:r>
      <w:r w:rsidRPr="00B81378">
        <w:rPr>
          <w:i/>
        </w:rPr>
        <w:t>Report of the FAO Expert Workshop on Climate Change Implications for Fisheries and Aquaculture</w:t>
      </w:r>
      <w:r>
        <w:t>. FIEP/</w:t>
      </w:r>
      <w:proofErr w:type="gramStart"/>
      <w:r>
        <w:t>R870(</w:t>
      </w:r>
      <w:proofErr w:type="spellStart"/>
      <w:proofErr w:type="gramEnd"/>
      <w:r>
        <w:t>En</w:t>
      </w:r>
      <w:proofErr w:type="spellEnd"/>
      <w:r>
        <w:t>). Rome, Italy. [</w:t>
      </w:r>
      <w:proofErr w:type="gramStart"/>
      <w:r>
        <w:t>online</w:t>
      </w:r>
      <w:proofErr w:type="gramEnd"/>
      <w:r>
        <w:t xml:space="preserve">] URL: </w:t>
      </w:r>
      <w:hyperlink r:id="rId9" w:history="1">
        <w:r w:rsidRPr="004F4853">
          <w:rPr>
            <w:rStyle w:val="Hyperlink"/>
          </w:rPr>
          <w:t>http://www.fao.org/docrep/011/i0203e/i0203e00.pdf</w:t>
        </w:r>
      </w:hyperlink>
      <w:r>
        <w:t>.</w:t>
      </w:r>
    </w:p>
    <w:p w:rsidR="00DB6B0A" w:rsidRDefault="00DB6B0A" w:rsidP="00DB6B0A"/>
    <w:p w:rsidR="00DB6B0A" w:rsidRDefault="00DB6B0A" w:rsidP="00DB6B0A">
      <w:proofErr w:type="gramStart"/>
      <w:r w:rsidRPr="00B81378">
        <w:t>Food and Agriculture Organization of the United Nations</w:t>
      </w:r>
      <w:r>
        <w:t xml:space="preserve"> (FAO).</w:t>
      </w:r>
      <w:proofErr w:type="gramEnd"/>
      <w:r>
        <w:t xml:space="preserve"> 2009.</w:t>
      </w:r>
      <w:r w:rsidRPr="00FD4834">
        <w:t xml:space="preserve"> </w:t>
      </w:r>
      <w:r w:rsidRPr="00FD4834">
        <w:rPr>
          <w:i/>
        </w:rPr>
        <w:t>International Guidelines for the Management of Deep-sea Fisheries in the High Seas</w:t>
      </w:r>
      <w:r>
        <w:t>. Rome, Italy. [</w:t>
      </w:r>
      <w:proofErr w:type="gramStart"/>
      <w:r>
        <w:t>online</w:t>
      </w:r>
      <w:proofErr w:type="gramEnd"/>
      <w:r>
        <w:t xml:space="preserve">] URL: </w:t>
      </w:r>
      <w:hyperlink r:id="rId10" w:history="1">
        <w:r w:rsidRPr="009E512E">
          <w:rPr>
            <w:rStyle w:val="Hyperlink"/>
          </w:rPr>
          <w:t>http://www.fao.org/docrep/011/i0816t/i0816t00.htm</w:t>
        </w:r>
      </w:hyperlink>
      <w:r>
        <w:t>.</w:t>
      </w:r>
    </w:p>
    <w:p w:rsidR="00DB6B0A" w:rsidRDefault="00DB6B0A" w:rsidP="00DB6B0A"/>
    <w:p w:rsidR="00DB6B0A" w:rsidRDefault="00DB6B0A" w:rsidP="00DB6B0A">
      <w:r>
        <w:t xml:space="preserve">Gianni, M., S.D. Fuller, D.E.J. Currie, K. </w:t>
      </w:r>
      <w:proofErr w:type="spellStart"/>
      <w:r>
        <w:t>Schleit</w:t>
      </w:r>
      <w:proofErr w:type="spellEnd"/>
      <w:r>
        <w:t xml:space="preserve">, L. Goldsworthy, B. Pike, B. </w:t>
      </w:r>
      <w:proofErr w:type="spellStart"/>
      <w:r>
        <w:t>Weeber</w:t>
      </w:r>
      <w:proofErr w:type="spellEnd"/>
      <w:r>
        <w:t>, S. Owen, A. Friedman. 2016.</w:t>
      </w:r>
      <w:r w:rsidRPr="000263FE">
        <w:rPr>
          <w:i/>
        </w:rPr>
        <w:t xml:space="preserve"> How much longer will it take? A ten-year review of the implementation of United Nations General Assembly resolutions 61/105, 64/72 and 66/68 on the management of bottom fisheries in areas beyond national jurisdiction</w:t>
      </w:r>
      <w:r>
        <w:t xml:space="preserve">. </w:t>
      </w:r>
      <w:proofErr w:type="gramStart"/>
      <w:r>
        <w:t>Deep Sea Conservation Coalition.</w:t>
      </w:r>
      <w:proofErr w:type="gramEnd"/>
      <w:r>
        <w:t xml:space="preserve"> </w:t>
      </w:r>
      <w:r>
        <w:lastRenderedPageBreak/>
        <w:t>[</w:t>
      </w:r>
      <w:proofErr w:type="gramStart"/>
      <w:r>
        <w:t>online</w:t>
      </w:r>
      <w:proofErr w:type="gramEnd"/>
      <w:r>
        <w:t xml:space="preserve">] URL: </w:t>
      </w:r>
      <w:r w:rsidRPr="000263FE">
        <w:t>http://www.savethehighseas.org/publicdocs/DSCC-Review-2016_Launch-29-July.pdf</w:t>
      </w:r>
      <w:r>
        <w:t xml:space="preserve">. </w:t>
      </w:r>
    </w:p>
    <w:p w:rsidR="00DB6B0A" w:rsidRDefault="00DB6B0A" w:rsidP="00DB6B0A"/>
    <w:p w:rsidR="00DB6B0A" w:rsidRDefault="00DB6B0A" w:rsidP="00DB6B0A">
      <w:proofErr w:type="gramStart"/>
      <w:r>
        <w:t>Glover, A. G., and C. Smith.</w:t>
      </w:r>
      <w:proofErr w:type="gramEnd"/>
      <w:r>
        <w:t xml:space="preserve"> 2003. The deep-sea floor ecosystem: current status and prospects of anthropogenic change by the year 2025. </w:t>
      </w:r>
      <w:r w:rsidRPr="00BF4528">
        <w:rPr>
          <w:i/>
        </w:rPr>
        <w:t>Environmental Conservation</w:t>
      </w:r>
      <w:r>
        <w:t xml:space="preserve"> 30</w:t>
      </w:r>
      <w:r w:rsidRPr="0089723D">
        <w:t>(3): 219–241</w:t>
      </w:r>
      <w:r>
        <w:t xml:space="preserve">. </w:t>
      </w:r>
      <w:proofErr w:type="gramStart"/>
      <w:r>
        <w:t>doi</w:t>
      </w:r>
      <w:r w:rsidRPr="0089723D">
        <w:t>:</w:t>
      </w:r>
      <w:proofErr w:type="gramEnd"/>
      <w:r w:rsidRPr="0089723D">
        <w:t>10.1017/S0376892903000225</w:t>
      </w:r>
      <w:r>
        <w:t>.</w:t>
      </w:r>
    </w:p>
    <w:p w:rsidR="00DB6B0A" w:rsidRDefault="00DB6B0A" w:rsidP="00DB6B0A"/>
    <w:p w:rsidR="00DB6B0A" w:rsidRDefault="00DB6B0A" w:rsidP="00DB6B0A">
      <w:proofErr w:type="gramStart"/>
      <w:r>
        <w:t>Moon, D.-Y.</w:t>
      </w:r>
      <w:proofErr w:type="gramEnd"/>
      <w:r>
        <w:t xml:space="preserve"> 2016. </w:t>
      </w:r>
      <w:r w:rsidRPr="00E512C9">
        <w:rPr>
          <w:i/>
        </w:rPr>
        <w:t>Progress in the Management of North Pacific Bottom Fisheries in Conjunction with Establishment of the NPFC</w:t>
      </w:r>
      <w:r>
        <w:t>. Workshop to discuss implementation of paragraphs 113, 117 and 119 to 124 of resolution 64/72 and paragraphs 121, 126, 129, 130 and 132 to 134 of resolution 66/68 on Sustainable Fisheries, addressing the impacts of bottom fishing on vulnerable marine ecosystems and the long-term sustainability of deep-sea fish stocks, 1-2 August 2016. United Nations, New York, USA. [</w:t>
      </w:r>
      <w:proofErr w:type="gramStart"/>
      <w:r>
        <w:t>online</w:t>
      </w:r>
      <w:proofErr w:type="gramEnd"/>
      <w:r>
        <w:t xml:space="preserve">] URL: </w:t>
      </w:r>
      <w:r w:rsidRPr="00B01EE1">
        <w:t>http://www.un.org/depts/los/reference_files/Presentations/PPT/Segment4/DYM.pdf</w:t>
      </w:r>
      <w:r>
        <w:t>.</w:t>
      </w:r>
    </w:p>
    <w:p w:rsidR="00DB6B0A" w:rsidRDefault="00DB6B0A" w:rsidP="00DB6B0A"/>
    <w:p w:rsidR="00DB6B0A" w:rsidRDefault="00DB6B0A" w:rsidP="00DB6B0A">
      <w:r>
        <w:t xml:space="preserve">North Pacific Fisheries Commission (NPFC). </w:t>
      </w:r>
      <w:r w:rsidRPr="009A2C1E">
        <w:rPr>
          <w:i/>
        </w:rPr>
        <w:t>About NPFC: NPFC Are of Application</w:t>
      </w:r>
      <w:r w:rsidRPr="009A2C1E">
        <w:t>.</w:t>
      </w:r>
      <w:r>
        <w:t xml:space="preserve"> [</w:t>
      </w:r>
      <w:proofErr w:type="gramStart"/>
      <w:r>
        <w:t>online</w:t>
      </w:r>
      <w:proofErr w:type="gramEnd"/>
      <w:r>
        <w:t>] URL:</w:t>
      </w:r>
      <w:r w:rsidRPr="009A2C1E">
        <w:t xml:space="preserve"> </w:t>
      </w:r>
      <w:r w:rsidR="007E7E66" w:rsidRPr="007E7E66">
        <w:t>http://npfc.r-cms.jp/About_Map/</w:t>
      </w:r>
      <w:r>
        <w:t>.</w:t>
      </w:r>
    </w:p>
    <w:p w:rsidR="007E7E66" w:rsidRDefault="007E7E66" w:rsidP="00DB6B0A"/>
    <w:p w:rsidR="00DB6B0A" w:rsidRDefault="00DB6B0A" w:rsidP="00DB6B0A">
      <w:proofErr w:type="spellStart"/>
      <w:proofErr w:type="gramStart"/>
      <w:r>
        <w:t>Polovina</w:t>
      </w:r>
      <w:proofErr w:type="spellEnd"/>
      <w:r>
        <w:t xml:space="preserve">, J. J., E. A. </w:t>
      </w:r>
      <w:r w:rsidRPr="00E512C9">
        <w:t xml:space="preserve">Howell, and M. </w:t>
      </w:r>
      <w:proofErr w:type="spellStart"/>
      <w:r w:rsidRPr="00E512C9">
        <w:t>Abecassis</w:t>
      </w:r>
      <w:proofErr w:type="spellEnd"/>
      <w:r>
        <w:t>.</w:t>
      </w:r>
      <w:proofErr w:type="gramEnd"/>
      <w:r>
        <w:t xml:space="preserve"> 2008. </w:t>
      </w:r>
      <w:r w:rsidRPr="002D26A5">
        <w:t>Ocean’s least productive waters are expanding</w:t>
      </w:r>
      <w:r>
        <w:t xml:space="preserve">. </w:t>
      </w:r>
      <w:r w:rsidRPr="00BF4528">
        <w:rPr>
          <w:i/>
        </w:rPr>
        <w:t>Geophysical Research Letters</w:t>
      </w:r>
      <w:r>
        <w:t xml:space="preserve"> 35: L03618.</w:t>
      </w:r>
      <w:r w:rsidRPr="002D26A5">
        <w:t xml:space="preserve"> </w:t>
      </w:r>
      <w:proofErr w:type="gramStart"/>
      <w:r w:rsidRPr="002D26A5">
        <w:t>doi:</w:t>
      </w:r>
      <w:proofErr w:type="gramEnd"/>
      <w:r w:rsidRPr="002D26A5">
        <w:t>10.1029/2007GL031745</w:t>
      </w:r>
      <w:r>
        <w:t xml:space="preserve">. </w:t>
      </w:r>
    </w:p>
    <w:p w:rsidR="00DB6B0A" w:rsidRDefault="00DB6B0A" w:rsidP="00DB6B0A"/>
    <w:p w:rsidR="00DB6B0A" w:rsidRDefault="00DB6B0A" w:rsidP="00DB6B0A">
      <w:r>
        <w:t xml:space="preserve">Rogers, A. D. 2015. </w:t>
      </w:r>
      <w:proofErr w:type="gramStart"/>
      <w:r>
        <w:t>Environmental Change in the Deep Ocean.</w:t>
      </w:r>
      <w:proofErr w:type="gramEnd"/>
      <w:r>
        <w:t xml:space="preserve"> </w:t>
      </w:r>
      <w:r w:rsidRPr="00BF4528">
        <w:rPr>
          <w:i/>
        </w:rPr>
        <w:t>Annual Review of Environment and Resources</w:t>
      </w:r>
      <w:r>
        <w:t xml:space="preserve"> </w:t>
      </w:r>
      <w:r w:rsidRPr="002D26A5">
        <w:t>40:1–38</w:t>
      </w:r>
      <w:r>
        <w:t xml:space="preserve">.  </w:t>
      </w:r>
      <w:proofErr w:type="gramStart"/>
      <w:r>
        <w:t>doi:</w:t>
      </w:r>
      <w:proofErr w:type="gramEnd"/>
      <w:r>
        <w:t>10.1146/annurev-environ-102014-021415.</w:t>
      </w:r>
    </w:p>
    <w:p w:rsidR="00DB6B0A" w:rsidRDefault="00DB6B0A" w:rsidP="00DB6B0A"/>
    <w:p w:rsidR="00DB6B0A" w:rsidRDefault="00DB6B0A" w:rsidP="00DB6B0A">
      <w:r>
        <w:t xml:space="preserve">Scientific Committee - North Pacific Fisheries Commission (SC-NPFC). 2016. </w:t>
      </w:r>
      <w:r w:rsidRPr="00F52BEB">
        <w:rPr>
          <w:i/>
        </w:rPr>
        <w:t>1</w:t>
      </w:r>
      <w:r w:rsidRPr="00F52BEB">
        <w:rPr>
          <w:i/>
          <w:vertAlign w:val="superscript"/>
        </w:rPr>
        <w:t>st</w:t>
      </w:r>
      <w:r>
        <w:t xml:space="preserve"> </w:t>
      </w:r>
      <w:r w:rsidRPr="00206B4F">
        <w:rPr>
          <w:i/>
        </w:rPr>
        <w:t>Meeting of the Scientific Committee</w:t>
      </w:r>
      <w:r>
        <w:t xml:space="preserve">. </w:t>
      </w:r>
      <w:proofErr w:type="gramStart"/>
      <w:r w:rsidRPr="005C411A">
        <w:t>NPFC01-2016-SC01-Final Report</w:t>
      </w:r>
      <w:r>
        <w:t>.</w:t>
      </w:r>
      <w:proofErr w:type="gramEnd"/>
      <w:r>
        <w:t xml:space="preserve"> Tokyo, Japan.</w:t>
      </w:r>
    </w:p>
    <w:p w:rsidR="00DB6B0A" w:rsidRDefault="00DB6B0A" w:rsidP="00DB6B0A"/>
    <w:p w:rsidR="00DB6B0A" w:rsidRDefault="00DB6B0A" w:rsidP="00DB6B0A">
      <w:proofErr w:type="gramStart"/>
      <w:r>
        <w:t xml:space="preserve">Small Scientific Committee – North Pacific </w:t>
      </w:r>
      <w:proofErr w:type="spellStart"/>
      <w:r>
        <w:t>Armorhead</w:t>
      </w:r>
      <w:proofErr w:type="spellEnd"/>
      <w:r>
        <w:t xml:space="preserve"> (SCC-NPA).</w:t>
      </w:r>
      <w:proofErr w:type="gramEnd"/>
      <w:r>
        <w:t xml:space="preserve"> 2016. </w:t>
      </w:r>
      <w:r w:rsidRPr="00F52BEB">
        <w:rPr>
          <w:i/>
        </w:rPr>
        <w:t>1</w:t>
      </w:r>
      <w:r w:rsidRPr="00F52BEB">
        <w:rPr>
          <w:i/>
          <w:vertAlign w:val="superscript"/>
        </w:rPr>
        <w:t>st</w:t>
      </w:r>
      <w:r w:rsidRPr="00F52BEB">
        <w:rPr>
          <w:i/>
        </w:rPr>
        <w:t xml:space="preserve"> Meeting of the Small Scientific Committee on North Pacific </w:t>
      </w:r>
      <w:proofErr w:type="spellStart"/>
      <w:r w:rsidRPr="00F52BEB">
        <w:rPr>
          <w:i/>
        </w:rPr>
        <w:t>Armorhead</w:t>
      </w:r>
      <w:proofErr w:type="spellEnd"/>
      <w:r>
        <w:t xml:space="preserve">. </w:t>
      </w:r>
      <w:proofErr w:type="gramStart"/>
      <w:r>
        <w:t>NPFC01-2016-SCC-NPA01</w:t>
      </w:r>
      <w:r w:rsidRPr="005C411A">
        <w:t>-Final Report</w:t>
      </w:r>
      <w:r>
        <w:t>.</w:t>
      </w:r>
      <w:proofErr w:type="gramEnd"/>
      <w:r>
        <w:t xml:space="preserve"> Tokyo, Japan.</w:t>
      </w:r>
    </w:p>
    <w:p w:rsidR="00DB6B0A" w:rsidRDefault="00DB6B0A" w:rsidP="00DB6B0A"/>
    <w:p w:rsidR="00DB6B0A" w:rsidRDefault="00DB6B0A" w:rsidP="00DB6B0A">
      <w:r w:rsidRPr="009A2C1E">
        <w:t>U</w:t>
      </w:r>
      <w:r>
        <w:t xml:space="preserve">nited </w:t>
      </w:r>
      <w:r w:rsidRPr="009A2C1E">
        <w:t>N</w:t>
      </w:r>
      <w:r>
        <w:t xml:space="preserve">ations (UN). 2016. </w:t>
      </w:r>
      <w:r w:rsidRPr="009A2C1E">
        <w:rPr>
          <w:i/>
        </w:rPr>
        <w:t>Summary by the Moderator of the discussions held at the Workshop to discuss implementation of 113, 117 and 119 to 124 of resolution 64/72 and paragraphs 121, 126, 129, 130 and 132 to 134 of resolution 66/68 on sustainable fisheries, addressing the impacts of bottom fishing on vulnerable marine ecosystems and the long-term sustainability of deep-sea fish stocks</w:t>
      </w:r>
      <w:r>
        <w:t>. 1 and 2 August 2016,</w:t>
      </w:r>
      <w:r w:rsidRPr="009A2C1E">
        <w:t xml:space="preserve"> U</w:t>
      </w:r>
      <w:r>
        <w:t xml:space="preserve">nited </w:t>
      </w:r>
      <w:r w:rsidRPr="009A2C1E">
        <w:t>N</w:t>
      </w:r>
      <w:r>
        <w:t xml:space="preserve">ations, New York, </w:t>
      </w:r>
      <w:proofErr w:type="gramStart"/>
      <w:r>
        <w:t>USA</w:t>
      </w:r>
      <w:proofErr w:type="gramEnd"/>
      <w:r>
        <w:t>.</w:t>
      </w:r>
      <w:r w:rsidRPr="009A2C1E">
        <w:t xml:space="preserve"> </w:t>
      </w:r>
      <w:r>
        <w:t>[</w:t>
      </w:r>
      <w:proofErr w:type="gramStart"/>
      <w:r>
        <w:t>o</w:t>
      </w:r>
      <w:r w:rsidRPr="009A2C1E">
        <w:t>n</w:t>
      </w:r>
      <w:r>
        <w:t>line</w:t>
      </w:r>
      <w:proofErr w:type="gramEnd"/>
      <w:r>
        <w:t xml:space="preserve">] URL: </w:t>
      </w:r>
      <w:r w:rsidRPr="009A2C1E">
        <w:t>http://www.un.org/depts/los/reference_files/Bottom_Fishing_Advance_and_unedited_reporting_Material.pdf</w:t>
      </w:r>
      <w:r>
        <w:t>.</w:t>
      </w:r>
    </w:p>
    <w:p w:rsidR="00DB6B0A" w:rsidRDefault="00DB6B0A" w:rsidP="00DB6B0A"/>
    <w:p w:rsidR="00DB6B0A" w:rsidRDefault="00DB6B0A" w:rsidP="00DB6B0A">
      <w:r>
        <w:t xml:space="preserve">United Nations General Assembly (UNGA). 2004. </w:t>
      </w:r>
      <w:r w:rsidRPr="0023443F">
        <w:rPr>
          <w:i/>
        </w:rPr>
        <w:t>Sustainable fisheries, including through the 1995 Agreement for the Implementation of the Provisions of the United Nations Convention on the Law of the Sea of 10 December 1982 relating to the Conservation and Management of Straddling Fish Stocks and Highly Migratory Fish Stocks, and related instruments.</w:t>
      </w:r>
      <w:r>
        <w:t xml:space="preserve"> </w:t>
      </w:r>
      <w:proofErr w:type="gramStart"/>
      <w:r>
        <w:t>A/RES/59/25.</w:t>
      </w:r>
      <w:proofErr w:type="gramEnd"/>
      <w:r>
        <w:t xml:space="preserve"> United Nations, New York, USA.</w:t>
      </w:r>
    </w:p>
    <w:p w:rsidR="00DB6B0A" w:rsidRDefault="00DB6B0A" w:rsidP="00DB6B0A"/>
    <w:p w:rsidR="00DB6B0A" w:rsidRDefault="00DB6B0A" w:rsidP="00DB6B0A">
      <w:r>
        <w:lastRenderedPageBreak/>
        <w:t>United Nations General Assembly (UNGA). 2005.</w:t>
      </w:r>
      <w:r w:rsidRPr="0023443F">
        <w:t xml:space="preserve"> </w:t>
      </w:r>
      <w:r w:rsidRPr="0023443F">
        <w:rPr>
          <w:i/>
        </w:rPr>
        <w:t>Sustainable fisheries, including through the 1995 Agreement for the Implementation of the Provisions of the United Nations Convention on the Law of the Sea of 10 December 1982 relating to the Conservation and Management of Straddling Fish Stocks and Highly Migratory Fish Stocks, and related instruments</w:t>
      </w:r>
      <w:r>
        <w:t xml:space="preserve">. </w:t>
      </w:r>
      <w:proofErr w:type="gramStart"/>
      <w:r>
        <w:t>A/RES/60/31.</w:t>
      </w:r>
      <w:proofErr w:type="gramEnd"/>
      <w:r>
        <w:t xml:space="preserve"> United Nations, New York, USA.</w:t>
      </w:r>
    </w:p>
    <w:p w:rsidR="00DB6B0A" w:rsidRDefault="00DB6B0A" w:rsidP="00DB6B0A"/>
    <w:p w:rsidR="00DB6B0A" w:rsidRDefault="00DB6B0A" w:rsidP="00DB6B0A">
      <w:r>
        <w:t>United Nations General Assembly (UNGA).</w:t>
      </w:r>
      <w:r w:rsidR="00472325">
        <w:t xml:space="preserve"> </w:t>
      </w:r>
      <w:r>
        <w:t xml:space="preserve">2006. </w:t>
      </w:r>
      <w:r w:rsidRPr="0023443F">
        <w:rPr>
          <w:i/>
        </w:rPr>
        <w:t>Sustainable fisheries, including through the 1995 Agreement for the Implementation of the Provisions of the United Nations Convention on the Law of the Sea of 10 December 1982 relating to the Conservation and Management of Straddling Fish Stocks and Highly Migratory Fish Stocks, and related instruments</w:t>
      </w:r>
      <w:r>
        <w:t xml:space="preserve">. </w:t>
      </w:r>
      <w:proofErr w:type="gramStart"/>
      <w:r>
        <w:t>A/RES/61/105.</w:t>
      </w:r>
      <w:proofErr w:type="gramEnd"/>
      <w:r>
        <w:t xml:space="preserve"> United Nations, New York, USA.</w:t>
      </w:r>
    </w:p>
    <w:p w:rsidR="00DB6B0A" w:rsidRDefault="00DB6B0A" w:rsidP="00DB6B0A"/>
    <w:p w:rsidR="00DB6B0A" w:rsidRDefault="00DB6B0A" w:rsidP="00DB6B0A">
      <w:r>
        <w:t xml:space="preserve">United Nations General Assembly (UNGA). 2008.  </w:t>
      </w:r>
      <w:r w:rsidRPr="00A50758">
        <w:rPr>
          <w:i/>
        </w:rPr>
        <w:t xml:space="preserve">Sustainable fisheries, including through the 1995 Agreement for the Implementation of the Provisions of the United Nations Convention on the Law of the Sea of 10 December 1982 relating to the Conservation and Management of Straddling Fish Stocks and Highly Migratory Fish Stocks, and related instruments. </w:t>
      </w:r>
      <w:proofErr w:type="gramStart"/>
      <w:r>
        <w:t>A/RES/63/112.</w:t>
      </w:r>
      <w:proofErr w:type="gramEnd"/>
      <w:r>
        <w:t xml:space="preserve"> United Nations, New York, USA.</w:t>
      </w:r>
    </w:p>
    <w:p w:rsidR="00DB6B0A" w:rsidRDefault="00DB6B0A" w:rsidP="00DB6B0A"/>
    <w:p w:rsidR="00DB6B0A" w:rsidRDefault="00DB6B0A" w:rsidP="00DB6B0A">
      <w:r>
        <w:t>United Nations General Assembly (UNGA). 2009.</w:t>
      </w:r>
      <w:r w:rsidRPr="00A50758">
        <w:t xml:space="preserve"> </w:t>
      </w:r>
      <w:r w:rsidRPr="00A50758">
        <w:rPr>
          <w:i/>
        </w:rPr>
        <w:t>Sustainable fisheries, including through the 1995 Agreement for the Implementation of the Provisions of the United Nations Convention on the Law of the Sea of 10 December 1982 relating to the Conservation and Management of Straddling Fish Stocks and Highly Migratory Fish Stocks, and related instruments</w:t>
      </w:r>
      <w:r>
        <w:t xml:space="preserve">. </w:t>
      </w:r>
      <w:proofErr w:type="gramStart"/>
      <w:r>
        <w:t>A/RES/64/72.</w:t>
      </w:r>
      <w:proofErr w:type="gramEnd"/>
      <w:r>
        <w:t xml:space="preserve"> United Nations, New York, USA.</w:t>
      </w:r>
    </w:p>
    <w:p w:rsidR="00DB6B0A" w:rsidRDefault="00DB6B0A" w:rsidP="00DB6B0A"/>
    <w:p w:rsidR="00DB6B0A" w:rsidRDefault="00DB6B0A" w:rsidP="00DB6B0A">
      <w:r>
        <w:t xml:space="preserve">United Nations General Assembly (UNGA). 2011.  </w:t>
      </w:r>
      <w:r w:rsidRPr="00A50758">
        <w:rPr>
          <w:i/>
        </w:rPr>
        <w:t>Sustainable fisheries, including through the 1995 Agreement for the Implementation of the Provisions of the United Nations Convention on the Law of the Sea of 10 December 1982 relating to the Conservation and Management of Straddling Fish Stocks and Highly Migratory Fish Stocks, and related instruments.</w:t>
      </w:r>
      <w:r>
        <w:t xml:space="preserve"> </w:t>
      </w:r>
      <w:proofErr w:type="gramStart"/>
      <w:r>
        <w:t>A/RES/66/68.</w:t>
      </w:r>
      <w:proofErr w:type="gramEnd"/>
      <w:r>
        <w:t xml:space="preserve"> United Nations, New York, USA.</w:t>
      </w:r>
    </w:p>
    <w:p w:rsidR="00DB6B0A" w:rsidRDefault="00DB6B0A" w:rsidP="00DB6B0A">
      <w:r>
        <w:t xml:space="preserve"> </w:t>
      </w:r>
    </w:p>
    <w:p w:rsidR="00DB6B0A" w:rsidRDefault="00DB6B0A" w:rsidP="00DB6B0A">
      <w:r>
        <w:t xml:space="preserve">United Nations General Assembly (UNGA). 2016.  </w:t>
      </w:r>
      <w:r w:rsidRPr="009A2C1E">
        <w:rPr>
          <w:i/>
        </w:rPr>
        <w:t xml:space="preserve">Sustainable fisheries, including through the 1995 Agreement for the Implementation of the Provisions of the United Nations Convention on the Law of the Sea of 10 December 1982 relating to the Conservation and Management of Straddling Fish Stocks and Highly Migratory Fish Stocks, and related instruments. </w:t>
      </w:r>
      <w:proofErr w:type="gramStart"/>
      <w:r>
        <w:t>A/RES/71/123.</w:t>
      </w:r>
      <w:proofErr w:type="gramEnd"/>
      <w:r>
        <w:t xml:space="preserve"> United Nations, New York, USA.</w:t>
      </w:r>
    </w:p>
    <w:p w:rsidR="00DB6B0A" w:rsidRDefault="00DB6B0A" w:rsidP="00DB6B0A"/>
    <w:p w:rsidR="00DB6B0A" w:rsidRDefault="00DB6B0A" w:rsidP="00DB6B0A"/>
    <w:p w:rsidR="00DB6B0A" w:rsidRDefault="00DB6B0A" w:rsidP="00DB6B0A"/>
    <w:p w:rsidR="00383247" w:rsidRDefault="00383247" w:rsidP="00900213"/>
    <w:p w:rsidR="00F55640" w:rsidRDefault="00F55640" w:rsidP="00900213"/>
    <w:p w:rsidR="002A3560" w:rsidRDefault="002A3560" w:rsidP="00C42B3E"/>
    <w:p w:rsidR="00FE5314" w:rsidRDefault="00FE5314" w:rsidP="002C615C">
      <w:pPr>
        <w:ind w:left="360"/>
      </w:pPr>
    </w:p>
    <w:p w:rsidR="00FE5314" w:rsidRDefault="00FE5314" w:rsidP="002C615C">
      <w:pPr>
        <w:ind w:left="360"/>
      </w:pPr>
    </w:p>
    <w:p w:rsidR="00412333" w:rsidRDefault="00412333" w:rsidP="002C615C">
      <w:pPr>
        <w:ind w:left="360"/>
      </w:pPr>
    </w:p>
    <w:p w:rsidR="00AF10E5" w:rsidRDefault="00AF10E5" w:rsidP="00F55640">
      <w:pPr>
        <w:pStyle w:val="ListParagraph"/>
      </w:pPr>
    </w:p>
    <w:sectPr w:rsidR="00AF10E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AA2" w:rsidRDefault="001A6AA2" w:rsidP="00101274">
      <w:r>
        <w:separator/>
      </w:r>
    </w:p>
  </w:endnote>
  <w:endnote w:type="continuationSeparator" w:id="0">
    <w:p w:rsidR="001A6AA2" w:rsidRDefault="001A6AA2" w:rsidP="0010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985497"/>
      <w:docPartObj>
        <w:docPartGallery w:val="Page Numbers (Bottom of Page)"/>
        <w:docPartUnique/>
      </w:docPartObj>
    </w:sdtPr>
    <w:sdtEndPr>
      <w:rPr>
        <w:noProof/>
      </w:rPr>
    </w:sdtEndPr>
    <w:sdtContent>
      <w:p w:rsidR="00CA07D8" w:rsidRDefault="00CA07D8">
        <w:pPr>
          <w:pStyle w:val="Footer"/>
          <w:jc w:val="center"/>
        </w:pPr>
        <w:r>
          <w:fldChar w:fldCharType="begin"/>
        </w:r>
        <w:r>
          <w:instrText xml:space="preserve"> PAGE   \* MERGEFORMAT </w:instrText>
        </w:r>
        <w:r>
          <w:fldChar w:fldCharType="separate"/>
        </w:r>
        <w:r w:rsidR="00C441CE">
          <w:rPr>
            <w:noProof/>
          </w:rPr>
          <w:t>5</w:t>
        </w:r>
        <w:r>
          <w:rPr>
            <w:noProof/>
          </w:rPr>
          <w:fldChar w:fldCharType="end"/>
        </w:r>
      </w:p>
    </w:sdtContent>
  </w:sdt>
  <w:p w:rsidR="00CA07D8" w:rsidRDefault="00CA0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AA2" w:rsidRDefault="001A6AA2" w:rsidP="00101274">
      <w:r>
        <w:separator/>
      </w:r>
    </w:p>
  </w:footnote>
  <w:footnote w:type="continuationSeparator" w:id="0">
    <w:p w:rsidR="001A6AA2" w:rsidRDefault="001A6AA2" w:rsidP="00101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81E2B"/>
    <w:multiLevelType w:val="hybridMultilevel"/>
    <w:tmpl w:val="C410345E"/>
    <w:lvl w:ilvl="0" w:tplc="70643FEC">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2813E58"/>
    <w:multiLevelType w:val="hybridMultilevel"/>
    <w:tmpl w:val="2E3642B4"/>
    <w:lvl w:ilvl="0" w:tplc="3B1AA28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6421CAF"/>
    <w:multiLevelType w:val="hybridMultilevel"/>
    <w:tmpl w:val="33D4A320"/>
    <w:lvl w:ilvl="0" w:tplc="18F4A70E">
      <w:start w:val="3"/>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945"/>
    <w:rsid w:val="00032379"/>
    <w:rsid w:val="000411F8"/>
    <w:rsid w:val="000473B6"/>
    <w:rsid w:val="00060040"/>
    <w:rsid w:val="00074C3E"/>
    <w:rsid w:val="00086892"/>
    <w:rsid w:val="000C60F2"/>
    <w:rsid w:val="000D2B3C"/>
    <w:rsid w:val="000D40E1"/>
    <w:rsid w:val="000F3505"/>
    <w:rsid w:val="00101225"/>
    <w:rsid w:val="00101274"/>
    <w:rsid w:val="001048E1"/>
    <w:rsid w:val="00105B50"/>
    <w:rsid w:val="0010671D"/>
    <w:rsid w:val="00110CAE"/>
    <w:rsid w:val="00111472"/>
    <w:rsid w:val="00125F02"/>
    <w:rsid w:val="001549D6"/>
    <w:rsid w:val="00160B38"/>
    <w:rsid w:val="001632C3"/>
    <w:rsid w:val="001718D5"/>
    <w:rsid w:val="00191655"/>
    <w:rsid w:val="001A1408"/>
    <w:rsid w:val="001A2A38"/>
    <w:rsid w:val="001A6AA2"/>
    <w:rsid w:val="001C55CE"/>
    <w:rsid w:val="001D4B7E"/>
    <w:rsid w:val="001D6853"/>
    <w:rsid w:val="001E4DA5"/>
    <w:rsid w:val="001F2FA1"/>
    <w:rsid w:val="00202A34"/>
    <w:rsid w:val="002069B8"/>
    <w:rsid w:val="002736B1"/>
    <w:rsid w:val="002A3560"/>
    <w:rsid w:val="002A48CD"/>
    <w:rsid w:val="002B6F1F"/>
    <w:rsid w:val="002C0801"/>
    <w:rsid w:val="002C615C"/>
    <w:rsid w:val="002C7BF6"/>
    <w:rsid w:val="002D51A4"/>
    <w:rsid w:val="002E298C"/>
    <w:rsid w:val="002F1536"/>
    <w:rsid w:val="002F57E0"/>
    <w:rsid w:val="00312A37"/>
    <w:rsid w:val="003141DD"/>
    <w:rsid w:val="00317BD5"/>
    <w:rsid w:val="003451A8"/>
    <w:rsid w:val="003508DE"/>
    <w:rsid w:val="003573A5"/>
    <w:rsid w:val="003628B5"/>
    <w:rsid w:val="00367458"/>
    <w:rsid w:val="00370283"/>
    <w:rsid w:val="003750E7"/>
    <w:rsid w:val="00383247"/>
    <w:rsid w:val="003915BD"/>
    <w:rsid w:val="003A15E0"/>
    <w:rsid w:val="003B166A"/>
    <w:rsid w:val="003D585E"/>
    <w:rsid w:val="003E6A41"/>
    <w:rsid w:val="003F1A31"/>
    <w:rsid w:val="00412333"/>
    <w:rsid w:val="00413488"/>
    <w:rsid w:val="00421000"/>
    <w:rsid w:val="00425971"/>
    <w:rsid w:val="0042663D"/>
    <w:rsid w:val="0042735A"/>
    <w:rsid w:val="00431527"/>
    <w:rsid w:val="00450D95"/>
    <w:rsid w:val="004561BB"/>
    <w:rsid w:val="00464921"/>
    <w:rsid w:val="00471E25"/>
    <w:rsid w:val="00472325"/>
    <w:rsid w:val="004915FA"/>
    <w:rsid w:val="004A36B2"/>
    <w:rsid w:val="004B1368"/>
    <w:rsid w:val="004C732E"/>
    <w:rsid w:val="004D0273"/>
    <w:rsid w:val="004D6FD7"/>
    <w:rsid w:val="004E20F6"/>
    <w:rsid w:val="004E302F"/>
    <w:rsid w:val="004E51EB"/>
    <w:rsid w:val="00504D38"/>
    <w:rsid w:val="00510506"/>
    <w:rsid w:val="005131C0"/>
    <w:rsid w:val="0051737E"/>
    <w:rsid w:val="00526175"/>
    <w:rsid w:val="0054380D"/>
    <w:rsid w:val="0054766A"/>
    <w:rsid w:val="005951B2"/>
    <w:rsid w:val="0059712C"/>
    <w:rsid w:val="00597F5B"/>
    <w:rsid w:val="005A1D6C"/>
    <w:rsid w:val="005B45C5"/>
    <w:rsid w:val="005C411A"/>
    <w:rsid w:val="005C5670"/>
    <w:rsid w:val="005E019D"/>
    <w:rsid w:val="005E09C3"/>
    <w:rsid w:val="005E4820"/>
    <w:rsid w:val="005F3BC3"/>
    <w:rsid w:val="0060104C"/>
    <w:rsid w:val="00604838"/>
    <w:rsid w:val="0061532B"/>
    <w:rsid w:val="00627CEF"/>
    <w:rsid w:val="006370AD"/>
    <w:rsid w:val="00644D3E"/>
    <w:rsid w:val="00650422"/>
    <w:rsid w:val="00655EDC"/>
    <w:rsid w:val="0066329F"/>
    <w:rsid w:val="00665B0F"/>
    <w:rsid w:val="00671F4A"/>
    <w:rsid w:val="0067780F"/>
    <w:rsid w:val="00685074"/>
    <w:rsid w:val="00696CBD"/>
    <w:rsid w:val="006977B4"/>
    <w:rsid w:val="006977DD"/>
    <w:rsid w:val="00697901"/>
    <w:rsid w:val="006B0A20"/>
    <w:rsid w:val="006B33DA"/>
    <w:rsid w:val="006C188C"/>
    <w:rsid w:val="006C2898"/>
    <w:rsid w:val="006C6891"/>
    <w:rsid w:val="006E0641"/>
    <w:rsid w:val="006E1BD3"/>
    <w:rsid w:val="006E3D57"/>
    <w:rsid w:val="006F071E"/>
    <w:rsid w:val="006F1A19"/>
    <w:rsid w:val="0070464E"/>
    <w:rsid w:val="0070602C"/>
    <w:rsid w:val="0071179A"/>
    <w:rsid w:val="00712708"/>
    <w:rsid w:val="00714FB7"/>
    <w:rsid w:val="00715A44"/>
    <w:rsid w:val="00715B2B"/>
    <w:rsid w:val="00723423"/>
    <w:rsid w:val="00724E84"/>
    <w:rsid w:val="00725D21"/>
    <w:rsid w:val="00764B6E"/>
    <w:rsid w:val="007845DD"/>
    <w:rsid w:val="00792A46"/>
    <w:rsid w:val="00792E8E"/>
    <w:rsid w:val="00796C98"/>
    <w:rsid w:val="007A049F"/>
    <w:rsid w:val="007A2555"/>
    <w:rsid w:val="007B0350"/>
    <w:rsid w:val="007B23B1"/>
    <w:rsid w:val="007B63E6"/>
    <w:rsid w:val="007C0047"/>
    <w:rsid w:val="007C4591"/>
    <w:rsid w:val="007C6D63"/>
    <w:rsid w:val="007D3585"/>
    <w:rsid w:val="007D797F"/>
    <w:rsid w:val="007E7E66"/>
    <w:rsid w:val="0080120F"/>
    <w:rsid w:val="008068D1"/>
    <w:rsid w:val="008078C4"/>
    <w:rsid w:val="008130CF"/>
    <w:rsid w:val="008250FB"/>
    <w:rsid w:val="00827CB3"/>
    <w:rsid w:val="008307CA"/>
    <w:rsid w:val="00836B0F"/>
    <w:rsid w:val="0084400D"/>
    <w:rsid w:val="008544D0"/>
    <w:rsid w:val="00873939"/>
    <w:rsid w:val="00874D12"/>
    <w:rsid w:val="008817FC"/>
    <w:rsid w:val="008B3945"/>
    <w:rsid w:val="008B6712"/>
    <w:rsid w:val="008C0874"/>
    <w:rsid w:val="008C7D0C"/>
    <w:rsid w:val="008D41A7"/>
    <w:rsid w:val="008D7D4B"/>
    <w:rsid w:val="00900213"/>
    <w:rsid w:val="009020A7"/>
    <w:rsid w:val="00914873"/>
    <w:rsid w:val="00974704"/>
    <w:rsid w:val="00974F20"/>
    <w:rsid w:val="00981A6F"/>
    <w:rsid w:val="00990B5E"/>
    <w:rsid w:val="009952E1"/>
    <w:rsid w:val="009A027B"/>
    <w:rsid w:val="009A2863"/>
    <w:rsid w:val="009E0263"/>
    <w:rsid w:val="009E3DCB"/>
    <w:rsid w:val="009E57AC"/>
    <w:rsid w:val="009F48E2"/>
    <w:rsid w:val="00A01235"/>
    <w:rsid w:val="00A111FA"/>
    <w:rsid w:val="00A31AF2"/>
    <w:rsid w:val="00A424AA"/>
    <w:rsid w:val="00A5336D"/>
    <w:rsid w:val="00A8059F"/>
    <w:rsid w:val="00A841A7"/>
    <w:rsid w:val="00A90067"/>
    <w:rsid w:val="00A9213B"/>
    <w:rsid w:val="00AA3947"/>
    <w:rsid w:val="00AA7D3C"/>
    <w:rsid w:val="00AB0B16"/>
    <w:rsid w:val="00AD1BB0"/>
    <w:rsid w:val="00AD2C82"/>
    <w:rsid w:val="00AE016C"/>
    <w:rsid w:val="00AE4282"/>
    <w:rsid w:val="00AF10E5"/>
    <w:rsid w:val="00B10500"/>
    <w:rsid w:val="00B35DBA"/>
    <w:rsid w:val="00B555FF"/>
    <w:rsid w:val="00B67B21"/>
    <w:rsid w:val="00B71ABF"/>
    <w:rsid w:val="00B828B2"/>
    <w:rsid w:val="00B92BFA"/>
    <w:rsid w:val="00BA510C"/>
    <w:rsid w:val="00BB5DBA"/>
    <w:rsid w:val="00BB63CE"/>
    <w:rsid w:val="00C22F31"/>
    <w:rsid w:val="00C24307"/>
    <w:rsid w:val="00C32BD6"/>
    <w:rsid w:val="00C3472D"/>
    <w:rsid w:val="00C34D88"/>
    <w:rsid w:val="00C37A67"/>
    <w:rsid w:val="00C42B3E"/>
    <w:rsid w:val="00C441CE"/>
    <w:rsid w:val="00C46B5B"/>
    <w:rsid w:val="00C606D2"/>
    <w:rsid w:val="00C60983"/>
    <w:rsid w:val="00C766B7"/>
    <w:rsid w:val="00C90602"/>
    <w:rsid w:val="00C96ACF"/>
    <w:rsid w:val="00CA07D8"/>
    <w:rsid w:val="00CA6252"/>
    <w:rsid w:val="00CC5B65"/>
    <w:rsid w:val="00CC6CC6"/>
    <w:rsid w:val="00CD3017"/>
    <w:rsid w:val="00CE0F5F"/>
    <w:rsid w:val="00CE6708"/>
    <w:rsid w:val="00CF1C3A"/>
    <w:rsid w:val="00CF3E5D"/>
    <w:rsid w:val="00CF3F85"/>
    <w:rsid w:val="00D0147E"/>
    <w:rsid w:val="00D10ADF"/>
    <w:rsid w:val="00D10C0D"/>
    <w:rsid w:val="00D169B3"/>
    <w:rsid w:val="00D23C86"/>
    <w:rsid w:val="00D32ABD"/>
    <w:rsid w:val="00D51EB5"/>
    <w:rsid w:val="00D634DD"/>
    <w:rsid w:val="00D91431"/>
    <w:rsid w:val="00DA63F2"/>
    <w:rsid w:val="00DB251D"/>
    <w:rsid w:val="00DB6B0A"/>
    <w:rsid w:val="00DC39A8"/>
    <w:rsid w:val="00DC63B2"/>
    <w:rsid w:val="00DE0CD9"/>
    <w:rsid w:val="00DF76A2"/>
    <w:rsid w:val="00DF7FC0"/>
    <w:rsid w:val="00E25574"/>
    <w:rsid w:val="00E36EDF"/>
    <w:rsid w:val="00E41DE4"/>
    <w:rsid w:val="00E53825"/>
    <w:rsid w:val="00E53B5E"/>
    <w:rsid w:val="00E6376B"/>
    <w:rsid w:val="00E66643"/>
    <w:rsid w:val="00E76B62"/>
    <w:rsid w:val="00E81581"/>
    <w:rsid w:val="00E919D1"/>
    <w:rsid w:val="00EA66BE"/>
    <w:rsid w:val="00EB3D2A"/>
    <w:rsid w:val="00ED5C20"/>
    <w:rsid w:val="00EF4C4D"/>
    <w:rsid w:val="00F03699"/>
    <w:rsid w:val="00F109D7"/>
    <w:rsid w:val="00F410E4"/>
    <w:rsid w:val="00F41BD8"/>
    <w:rsid w:val="00F42116"/>
    <w:rsid w:val="00F47EEE"/>
    <w:rsid w:val="00F55640"/>
    <w:rsid w:val="00F569A8"/>
    <w:rsid w:val="00F6060F"/>
    <w:rsid w:val="00F629C8"/>
    <w:rsid w:val="00F63DB2"/>
    <w:rsid w:val="00F675A6"/>
    <w:rsid w:val="00F737DB"/>
    <w:rsid w:val="00F7757C"/>
    <w:rsid w:val="00F8111B"/>
    <w:rsid w:val="00F859DC"/>
    <w:rsid w:val="00F85A27"/>
    <w:rsid w:val="00FB13DB"/>
    <w:rsid w:val="00FB6E97"/>
    <w:rsid w:val="00FB7FDB"/>
    <w:rsid w:val="00FD5A58"/>
    <w:rsid w:val="00FD6F5A"/>
    <w:rsid w:val="00FE18FE"/>
    <w:rsid w:val="00FE266D"/>
    <w:rsid w:val="00FE3398"/>
    <w:rsid w:val="00FE4890"/>
    <w:rsid w:val="00FE5314"/>
    <w:rsid w:val="00FF3F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560"/>
    <w:pPr>
      <w:spacing w:after="0" w:line="240" w:lineRule="auto"/>
    </w:pPr>
    <w:rPr>
      <w:rFonts w:eastAsia="Times New Roman" w:cs="Times New Roman"/>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560"/>
    <w:pPr>
      <w:ind w:left="720"/>
      <w:contextualSpacing/>
    </w:pPr>
  </w:style>
  <w:style w:type="paragraph" w:styleId="FootnoteText">
    <w:name w:val="footnote text"/>
    <w:basedOn w:val="Normal"/>
    <w:link w:val="FootnoteTextChar"/>
    <w:uiPriority w:val="99"/>
    <w:semiHidden/>
    <w:unhideWhenUsed/>
    <w:rsid w:val="00101274"/>
    <w:rPr>
      <w:sz w:val="20"/>
      <w:szCs w:val="20"/>
    </w:rPr>
  </w:style>
  <w:style w:type="character" w:customStyle="1" w:styleId="FootnoteTextChar">
    <w:name w:val="Footnote Text Char"/>
    <w:basedOn w:val="DefaultParagraphFont"/>
    <w:link w:val="FootnoteText"/>
    <w:uiPriority w:val="99"/>
    <w:semiHidden/>
    <w:rsid w:val="00101274"/>
    <w:rPr>
      <w:rFonts w:eastAsia="Times New Roman" w:cs="Times New Roman"/>
      <w:sz w:val="20"/>
      <w:szCs w:val="20"/>
      <w:lang w:eastAsia="en-CA"/>
    </w:rPr>
  </w:style>
  <w:style w:type="character" w:styleId="FootnoteReference">
    <w:name w:val="footnote reference"/>
    <w:basedOn w:val="DefaultParagraphFont"/>
    <w:uiPriority w:val="99"/>
    <w:semiHidden/>
    <w:unhideWhenUsed/>
    <w:rsid w:val="00101274"/>
    <w:rPr>
      <w:vertAlign w:val="superscript"/>
    </w:rPr>
  </w:style>
  <w:style w:type="character" w:styleId="Hyperlink">
    <w:name w:val="Hyperlink"/>
    <w:basedOn w:val="DefaultParagraphFont"/>
    <w:uiPriority w:val="99"/>
    <w:unhideWhenUsed/>
    <w:rsid w:val="002F1536"/>
    <w:rPr>
      <w:color w:val="0000FF" w:themeColor="hyperlink"/>
      <w:u w:val="single"/>
    </w:rPr>
  </w:style>
  <w:style w:type="paragraph" w:styleId="Header">
    <w:name w:val="header"/>
    <w:basedOn w:val="Normal"/>
    <w:link w:val="HeaderChar"/>
    <w:uiPriority w:val="99"/>
    <w:unhideWhenUsed/>
    <w:rsid w:val="00CA07D8"/>
    <w:pPr>
      <w:tabs>
        <w:tab w:val="center" w:pos="4680"/>
        <w:tab w:val="right" w:pos="9360"/>
      </w:tabs>
    </w:pPr>
  </w:style>
  <w:style w:type="character" w:customStyle="1" w:styleId="HeaderChar">
    <w:name w:val="Header Char"/>
    <w:basedOn w:val="DefaultParagraphFont"/>
    <w:link w:val="Header"/>
    <w:uiPriority w:val="99"/>
    <w:rsid w:val="00CA07D8"/>
    <w:rPr>
      <w:rFonts w:eastAsia="Times New Roman" w:cs="Times New Roman"/>
      <w:szCs w:val="24"/>
      <w:lang w:eastAsia="en-CA"/>
    </w:rPr>
  </w:style>
  <w:style w:type="paragraph" w:styleId="Footer">
    <w:name w:val="footer"/>
    <w:basedOn w:val="Normal"/>
    <w:link w:val="FooterChar"/>
    <w:uiPriority w:val="99"/>
    <w:unhideWhenUsed/>
    <w:rsid w:val="00CA07D8"/>
    <w:pPr>
      <w:tabs>
        <w:tab w:val="center" w:pos="4680"/>
        <w:tab w:val="right" w:pos="9360"/>
      </w:tabs>
    </w:pPr>
  </w:style>
  <w:style w:type="character" w:customStyle="1" w:styleId="FooterChar">
    <w:name w:val="Footer Char"/>
    <w:basedOn w:val="DefaultParagraphFont"/>
    <w:link w:val="Footer"/>
    <w:uiPriority w:val="99"/>
    <w:rsid w:val="00CA07D8"/>
    <w:rPr>
      <w:rFonts w:eastAsia="Times New Roman" w:cs="Times New Roman"/>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560"/>
    <w:pPr>
      <w:spacing w:after="0" w:line="240" w:lineRule="auto"/>
    </w:pPr>
    <w:rPr>
      <w:rFonts w:eastAsia="Times New Roman" w:cs="Times New Roman"/>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560"/>
    <w:pPr>
      <w:ind w:left="720"/>
      <w:contextualSpacing/>
    </w:pPr>
  </w:style>
  <w:style w:type="paragraph" w:styleId="FootnoteText">
    <w:name w:val="footnote text"/>
    <w:basedOn w:val="Normal"/>
    <w:link w:val="FootnoteTextChar"/>
    <w:uiPriority w:val="99"/>
    <w:semiHidden/>
    <w:unhideWhenUsed/>
    <w:rsid w:val="00101274"/>
    <w:rPr>
      <w:sz w:val="20"/>
      <w:szCs w:val="20"/>
    </w:rPr>
  </w:style>
  <w:style w:type="character" w:customStyle="1" w:styleId="FootnoteTextChar">
    <w:name w:val="Footnote Text Char"/>
    <w:basedOn w:val="DefaultParagraphFont"/>
    <w:link w:val="FootnoteText"/>
    <w:uiPriority w:val="99"/>
    <w:semiHidden/>
    <w:rsid w:val="00101274"/>
    <w:rPr>
      <w:rFonts w:eastAsia="Times New Roman" w:cs="Times New Roman"/>
      <w:sz w:val="20"/>
      <w:szCs w:val="20"/>
      <w:lang w:eastAsia="en-CA"/>
    </w:rPr>
  </w:style>
  <w:style w:type="character" w:styleId="FootnoteReference">
    <w:name w:val="footnote reference"/>
    <w:basedOn w:val="DefaultParagraphFont"/>
    <w:uiPriority w:val="99"/>
    <w:semiHidden/>
    <w:unhideWhenUsed/>
    <w:rsid w:val="00101274"/>
    <w:rPr>
      <w:vertAlign w:val="superscript"/>
    </w:rPr>
  </w:style>
  <w:style w:type="character" w:styleId="Hyperlink">
    <w:name w:val="Hyperlink"/>
    <w:basedOn w:val="DefaultParagraphFont"/>
    <w:uiPriority w:val="99"/>
    <w:unhideWhenUsed/>
    <w:rsid w:val="002F1536"/>
    <w:rPr>
      <w:color w:val="0000FF" w:themeColor="hyperlink"/>
      <w:u w:val="single"/>
    </w:rPr>
  </w:style>
  <w:style w:type="paragraph" w:styleId="Header">
    <w:name w:val="header"/>
    <w:basedOn w:val="Normal"/>
    <w:link w:val="HeaderChar"/>
    <w:uiPriority w:val="99"/>
    <w:unhideWhenUsed/>
    <w:rsid w:val="00CA07D8"/>
    <w:pPr>
      <w:tabs>
        <w:tab w:val="center" w:pos="4680"/>
        <w:tab w:val="right" w:pos="9360"/>
      </w:tabs>
    </w:pPr>
  </w:style>
  <w:style w:type="character" w:customStyle="1" w:styleId="HeaderChar">
    <w:name w:val="Header Char"/>
    <w:basedOn w:val="DefaultParagraphFont"/>
    <w:link w:val="Header"/>
    <w:uiPriority w:val="99"/>
    <w:rsid w:val="00CA07D8"/>
    <w:rPr>
      <w:rFonts w:eastAsia="Times New Roman" w:cs="Times New Roman"/>
      <w:szCs w:val="24"/>
      <w:lang w:eastAsia="en-CA"/>
    </w:rPr>
  </w:style>
  <w:style w:type="paragraph" w:styleId="Footer">
    <w:name w:val="footer"/>
    <w:basedOn w:val="Normal"/>
    <w:link w:val="FooterChar"/>
    <w:uiPriority w:val="99"/>
    <w:unhideWhenUsed/>
    <w:rsid w:val="00CA07D8"/>
    <w:pPr>
      <w:tabs>
        <w:tab w:val="center" w:pos="4680"/>
        <w:tab w:val="right" w:pos="9360"/>
      </w:tabs>
    </w:pPr>
  </w:style>
  <w:style w:type="character" w:customStyle="1" w:styleId="FooterChar">
    <w:name w:val="Footer Char"/>
    <w:basedOn w:val="DefaultParagraphFont"/>
    <w:link w:val="Footer"/>
    <w:uiPriority w:val="99"/>
    <w:rsid w:val="00CA07D8"/>
    <w:rPr>
      <w:rFonts w:eastAsia="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fao.org/docrep/011/i0816t/i0816t00.htm" TargetMode="External"/><Relationship Id="rId4" Type="http://schemas.microsoft.com/office/2007/relationships/stylesWithEffects" Target="stylesWithEffects.xml"/><Relationship Id="rId9" Type="http://schemas.openxmlformats.org/officeDocument/2006/relationships/hyperlink" Target="http://www.fao.org/docrep/011/i0203e/i0203e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1AB0B-3287-4CC0-B879-A93D927A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Qualitrol Company LLC</Company>
  <LinksUpToDate>false</LinksUpToDate>
  <CharactersWithSpaces>14627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2017-07-10T14:56:00Z</dcterms:created>
  <dcterms:modified xsi:type="dcterms:W3CDTF">2017-07-10T15:36:00Z</dcterms:modified>
</cp:coreProperties>
</file>