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E0780" w14:textId="77777777" w:rsidR="00211F4D" w:rsidRPr="00211F4D" w:rsidRDefault="00211F4D" w:rsidP="00211F4D">
      <w:pPr>
        <w:rPr>
          <w:rFonts w:ascii="Helvetica" w:hAnsi="Helvetica" w:cs="Helvetica"/>
          <w:b/>
        </w:rPr>
      </w:pPr>
      <w:r w:rsidRPr="00211F4D">
        <w:rPr>
          <w:rFonts w:ascii="Helvetica" w:hAnsi="Helvetica" w:cs="Helvetica"/>
          <w:b/>
        </w:rPr>
        <w:t>Reference List</w:t>
      </w:r>
    </w:p>
    <w:p w14:paraId="3272A267" w14:textId="77777777" w:rsidR="00211F4D" w:rsidRDefault="00211F4D" w:rsidP="00211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Helvetica" w:hAnsi="Helvetica" w:cs="Helvetica"/>
        </w:rPr>
      </w:pPr>
    </w:p>
    <w:p w14:paraId="72CD0848" w14:textId="77777777" w:rsidR="00211F4D" w:rsidRDefault="00211F4D" w:rsidP="00211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Allison, E. H., Perry, A. L., Badjeck, M. C., Neil Adger, W., Brown, K., Conway, D., et al. (2009). Vulnerability of national economies to the impacts of climate change on fisheries. </w:t>
      </w:r>
      <w:r>
        <w:rPr>
          <w:rFonts w:ascii="Helvetica" w:hAnsi="Helvetica" w:cs="Helvetica"/>
          <w:i/>
          <w:iCs/>
        </w:rPr>
        <w:t>Fish and Fisheries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i/>
          <w:iCs/>
        </w:rPr>
        <w:t>10</w:t>
      </w:r>
      <w:r>
        <w:rPr>
          <w:rFonts w:ascii="Helvetica" w:hAnsi="Helvetica" w:cs="Helvetica"/>
        </w:rPr>
        <w:t>(2), 173–196. http://doi.org/10.1111/j.1467-2979.2008.00310.x</w:t>
      </w:r>
    </w:p>
    <w:p w14:paraId="3EC39B35" w14:textId="77777777" w:rsidR="00211F4D" w:rsidRDefault="00211F4D" w:rsidP="00211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Cheung, W. W., Brodeur, R. D., Okey, T. A., &amp; Pauly, D. (2015). Projecting future changes in distributions of pelagic fish species of Northeast Pacific shelf seas. </w:t>
      </w:r>
      <w:r>
        <w:rPr>
          <w:rFonts w:ascii="Helvetica" w:hAnsi="Helvetica" w:cs="Helvetica"/>
          <w:i/>
          <w:iCs/>
        </w:rPr>
        <w:t>Progress in Oceanography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i/>
          <w:iCs/>
        </w:rPr>
        <w:t>130</w:t>
      </w:r>
      <w:r>
        <w:rPr>
          <w:rFonts w:ascii="Helvetica" w:hAnsi="Helvetica" w:cs="Helvetica"/>
        </w:rPr>
        <w:t>(C), 19–31. http://doi.org/10.1016/j.pocean.2014.09.003</w:t>
      </w:r>
    </w:p>
    <w:p w14:paraId="71260D34" w14:textId="77777777" w:rsidR="00211F4D" w:rsidRDefault="00211F4D" w:rsidP="00211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Cullis-Suzuki, S., &amp; Pauly, D. (2010). Failing the high seas: A global evaluation of regional fisheries management organizations. </w:t>
      </w:r>
      <w:r>
        <w:rPr>
          <w:rFonts w:ascii="Helvetica" w:hAnsi="Helvetica" w:cs="Helvetica"/>
          <w:i/>
          <w:iCs/>
        </w:rPr>
        <w:t>Marine Policy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i/>
          <w:iCs/>
        </w:rPr>
        <w:t>34</w:t>
      </w:r>
      <w:r>
        <w:rPr>
          <w:rFonts w:ascii="Helvetica" w:hAnsi="Helvetica" w:cs="Helvetica"/>
        </w:rPr>
        <w:t>(5), 1036–1042. http://doi.org/10.1016/j.marpol.2010.03.002</w:t>
      </w:r>
    </w:p>
    <w:p w14:paraId="5BD572A2" w14:textId="77777777" w:rsidR="00211F4D" w:rsidRDefault="00211F4D" w:rsidP="00211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Helvetica" w:hAnsi="Helvetica" w:cs="Helvetica"/>
        </w:rPr>
      </w:pPr>
      <w:r>
        <w:rPr>
          <w:rFonts w:ascii="Helvetica" w:hAnsi="Helvetica" w:cs="Helvetica"/>
        </w:rPr>
        <w:t>Dinar, A., Albiac, J., &amp; Sánchez-Soriano, J. (2008). Game Theory and Policy Making in Natural Resources and the Environment.</w:t>
      </w:r>
    </w:p>
    <w:p w14:paraId="269B9CAD" w14:textId="77777777" w:rsidR="00211F4D" w:rsidRDefault="00211F4D" w:rsidP="00211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Gronbaek, L., Lindroos, M., Munro, G., &amp; Pintassilgo, P. (2018). Game theory and fisheries. </w:t>
      </w:r>
      <w:r>
        <w:rPr>
          <w:rFonts w:ascii="Helvetica" w:hAnsi="Helvetica" w:cs="Helvetica"/>
          <w:i/>
          <w:iCs/>
        </w:rPr>
        <w:t>Fisheries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i/>
          <w:iCs/>
        </w:rPr>
        <w:t>203</w:t>
      </w:r>
      <w:r>
        <w:rPr>
          <w:rFonts w:ascii="Helvetica" w:hAnsi="Helvetica" w:cs="Helvetica"/>
        </w:rPr>
        <w:t>, 1–5. http://doi.org/10.1016/j.fishres.2017.11.027</w:t>
      </w:r>
    </w:p>
    <w:p w14:paraId="3AD65AEF" w14:textId="77777777" w:rsidR="00211F4D" w:rsidRDefault="00211F4D" w:rsidP="00211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IPHC Secretariat, &amp; Gustafson, K. (2016). </w:t>
      </w:r>
      <w:r>
        <w:rPr>
          <w:rFonts w:ascii="Helvetica" w:hAnsi="Helvetica" w:cs="Helvetica"/>
          <w:i/>
          <w:iCs/>
        </w:rPr>
        <w:t>Annual Report 2016, Established by a Convention between Canada and the United States of America</w:t>
      </w:r>
      <w:r>
        <w:rPr>
          <w:rFonts w:ascii="Helvetica" w:hAnsi="Helvetica" w:cs="Helvetica"/>
        </w:rPr>
        <w:t xml:space="preserve">. Seattle, Washington. Retrieved from </w:t>
      </w:r>
      <w:hyperlink r:id="rId4" w:history="1">
        <w:r w:rsidRPr="006A0301">
          <w:rPr>
            <w:rStyle w:val="Hyperlink"/>
            <w:rFonts w:ascii="Helvetica" w:hAnsi="Helvetica" w:cs="Helvetica"/>
          </w:rPr>
          <w:t>http://www.iphc.int/publications/annual/IPHC-2017-AR16.pdf</w:t>
        </w:r>
      </w:hyperlink>
    </w:p>
    <w:p w14:paraId="4C6B649B" w14:textId="77777777" w:rsidR="00211F4D" w:rsidRDefault="00211F4D" w:rsidP="00211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Helvetica" w:hAnsi="Helvetica" w:cs="Helvetica"/>
        </w:rPr>
      </w:pPr>
      <w:r w:rsidRPr="00211F4D">
        <w:rPr>
          <w:rFonts w:ascii="Helvetica" w:hAnsi="Helvetica" w:cs="Helvetica"/>
        </w:rPr>
        <w:t>Kelleher</w:t>
      </w:r>
      <w:r>
        <w:rPr>
          <w:rFonts w:ascii="Helvetica" w:hAnsi="Helvetica" w:cs="Helvetica"/>
        </w:rPr>
        <w:t xml:space="preserve">, S. (2003). </w:t>
      </w:r>
      <w:r>
        <w:rPr>
          <w:rFonts w:ascii="Helvetica" w:hAnsi="Helvetica" w:cs="Helvetica"/>
        </w:rPr>
        <w:t>Allocation of halibut for the canadian commercial and recreational fishing sectors in the pacific region</w:t>
      </w:r>
      <w:r>
        <w:rPr>
          <w:rFonts w:ascii="Helvetica" w:hAnsi="Helvetica" w:cs="Helvetica"/>
        </w:rPr>
        <w:t>, 1–19.</w:t>
      </w:r>
    </w:p>
    <w:p w14:paraId="4EFF69B8" w14:textId="77777777" w:rsidR="00211F4D" w:rsidRDefault="00211F4D" w:rsidP="00211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Jensen, F., Frost, H., Thogersen, T., Andersen, P., &amp; Andersen, J. L. (2015). Game theory and fish wars: The case of the Northeast Atlantic mackerel fishery. </w:t>
      </w:r>
      <w:r>
        <w:rPr>
          <w:rFonts w:ascii="Helvetica" w:hAnsi="Helvetica" w:cs="Helvetica"/>
          <w:i/>
          <w:iCs/>
        </w:rPr>
        <w:t>Fisheries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i/>
          <w:iCs/>
        </w:rPr>
        <w:t>172</w:t>
      </w:r>
      <w:r>
        <w:rPr>
          <w:rFonts w:ascii="Helvetica" w:hAnsi="Helvetica" w:cs="Helvetica"/>
        </w:rPr>
        <w:t>, 7–16. http://doi.org/10.1016/j.fishres.2015.06.022</w:t>
      </w:r>
    </w:p>
    <w:p w14:paraId="3787A8C3" w14:textId="77777777" w:rsidR="00211F4D" w:rsidRDefault="00211F4D" w:rsidP="00211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Lam, V. W. Y., Cheung, W. W., &amp; Sumaila, U. R. (2014). Marine capture fisheries in the Arctic: winners or losers under climate change and ocean acidification? </w:t>
      </w:r>
      <w:r>
        <w:rPr>
          <w:rFonts w:ascii="Helvetica" w:hAnsi="Helvetica" w:cs="Helvetica"/>
          <w:i/>
          <w:iCs/>
        </w:rPr>
        <w:t>Fish and Fisheries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i/>
          <w:iCs/>
        </w:rPr>
        <w:t>17</w:t>
      </w:r>
      <w:r>
        <w:rPr>
          <w:rFonts w:ascii="Helvetica" w:hAnsi="Helvetica" w:cs="Helvetica"/>
        </w:rPr>
        <w:t>(2), 335–357. http://doi.org/10.1111/faf.12106</w:t>
      </w:r>
    </w:p>
    <w:p w14:paraId="6A621069" w14:textId="77777777" w:rsidR="00211F4D" w:rsidRDefault="00211F4D" w:rsidP="00211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Link, J. S., Nye, J. A., &amp; Hare, J. A. (2010). Guidelines for incorporating fish distribution shifts into a fisheries management context. </w:t>
      </w:r>
      <w:r>
        <w:rPr>
          <w:rFonts w:ascii="Helvetica" w:hAnsi="Helvetica" w:cs="Helvetica"/>
          <w:i/>
          <w:iCs/>
        </w:rPr>
        <w:t>Fish and Fisheries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i/>
          <w:iCs/>
        </w:rPr>
        <w:t>12</w:t>
      </w:r>
      <w:r>
        <w:rPr>
          <w:rFonts w:ascii="Helvetica" w:hAnsi="Helvetica" w:cs="Helvetica"/>
        </w:rPr>
        <w:t>(4), 461–469. http://doi.org/10.1111/j.1467-2979.2010.00398.x</w:t>
      </w:r>
    </w:p>
    <w:p w14:paraId="4F1C889A" w14:textId="77777777" w:rsidR="00211F4D" w:rsidRDefault="00211F4D" w:rsidP="00211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Lodge, M. W., Anderson, D., Løbach, T., Munro, G., Sainsbury, K., &amp; Willock, A. (2007). </w:t>
      </w:r>
      <w:r>
        <w:rPr>
          <w:rFonts w:ascii="Helvetica" w:hAnsi="Helvetica" w:cs="Helvetica"/>
          <w:i/>
          <w:iCs/>
        </w:rPr>
        <w:t>Recommended Best Practices for Regional Fisheries Management Organizations: Report of an independent panel to develop a model for improved governance by Regional Fisheries Management Organizations</w:t>
      </w:r>
      <w:r>
        <w:rPr>
          <w:rFonts w:ascii="Helvetica" w:hAnsi="Helvetica" w:cs="Helvetica"/>
        </w:rPr>
        <w:t>. London, UK.: The Royal Institute of International Affairs. Retrieved from https://www.oecd.org/sd-roundtable/papersandpublications/39374297.pdf</w:t>
      </w:r>
    </w:p>
    <w:p w14:paraId="14B14A79" w14:textId="77777777" w:rsidR="00211F4D" w:rsidRDefault="00211F4D" w:rsidP="00211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McDaniels, T., Wilmot, S., Healey, M., &amp; Hinch, S. (2010). Vulnerability of Fraser River sockeye salmon to climate change: A life cycle perspective using expert judgments. </w:t>
      </w:r>
      <w:r>
        <w:rPr>
          <w:rFonts w:ascii="Helvetica" w:hAnsi="Helvetica" w:cs="Helvetica"/>
          <w:i/>
          <w:iCs/>
        </w:rPr>
        <w:t>Journal of Environmental Management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i/>
          <w:iCs/>
        </w:rPr>
        <w:t>91</w:t>
      </w:r>
      <w:r>
        <w:rPr>
          <w:rFonts w:ascii="Helvetica" w:hAnsi="Helvetica" w:cs="Helvetica"/>
        </w:rPr>
        <w:t>(12), 2771–2780.</w:t>
      </w:r>
    </w:p>
    <w:p w14:paraId="7082C538" w14:textId="77777777" w:rsidR="00211F4D" w:rsidRDefault="00211F4D" w:rsidP="00211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Helvetica" w:hAnsi="Helvetica" w:cs="Helvetica"/>
        </w:rPr>
      </w:pPr>
    </w:p>
    <w:p w14:paraId="63D4D733" w14:textId="77777777" w:rsidR="00211F4D" w:rsidRDefault="00211F4D" w:rsidP="00211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McKelvey, R., &amp; Golubtsov, P. (2014). Restoration of a Depleted Transboundary Fishery Subject to Climate Change: A Dynamic Investment Under Uncertainty with </w:t>
      </w:r>
      <w:r>
        <w:rPr>
          <w:rFonts w:ascii="Helvetica" w:hAnsi="Helvetica" w:cs="Helvetica"/>
        </w:rPr>
        <w:lastRenderedPageBreak/>
        <w:t xml:space="preserve">Information Updates. </w:t>
      </w:r>
      <w:r>
        <w:rPr>
          <w:rFonts w:ascii="Helvetica" w:hAnsi="Helvetica" w:cs="Helvetica"/>
          <w:i/>
          <w:iCs/>
        </w:rPr>
        <w:t>Environmental and Resource Economics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i/>
          <w:iCs/>
        </w:rPr>
        <w:t>61</w:t>
      </w:r>
      <w:r>
        <w:rPr>
          <w:rFonts w:ascii="Helvetica" w:hAnsi="Helvetica" w:cs="Helvetica"/>
        </w:rPr>
        <w:t>(1), 19–35. http://doi.org/10.1007/s10640-014-9854-0</w:t>
      </w:r>
    </w:p>
    <w:p w14:paraId="7750A20E" w14:textId="77777777" w:rsidR="00211F4D" w:rsidRDefault="00211F4D" w:rsidP="00211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Merten, W. (2015). </w:t>
      </w:r>
      <w:r>
        <w:rPr>
          <w:rFonts w:ascii="Helvetica" w:hAnsi="Helvetica" w:cs="Helvetica"/>
          <w:i/>
          <w:iCs/>
        </w:rPr>
        <w:t>International Agreements Concerning Living Marine Resources of Interest to NOAA Fisheries</w:t>
      </w:r>
      <w:r>
        <w:rPr>
          <w:rFonts w:ascii="Helvetica" w:hAnsi="Helvetica" w:cs="Helvetica"/>
        </w:rPr>
        <w:t>. Silver Spring, Maryland: Office of International Affairs and Seafood Inspection, National Marine Fisheries Service.</w:t>
      </w:r>
    </w:p>
    <w:p w14:paraId="6B65EDD1" w14:textId="77777777" w:rsidR="00211F4D" w:rsidRDefault="00211F4D" w:rsidP="00211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Helvetica" w:hAnsi="Helvetica" w:cs="Helvetica"/>
        </w:rPr>
      </w:pPr>
      <w:r>
        <w:rPr>
          <w:rFonts w:ascii="Helvetica" w:hAnsi="Helvetica" w:cs="Helvetica"/>
        </w:rPr>
        <w:t>National Oceanic and Atmospheric Administration. Retrieved from http://www.nmfs.noaa.gov/ia/resources/2015_int_agr_book.pdf</w:t>
      </w:r>
    </w:p>
    <w:p w14:paraId="40615925" w14:textId="77777777" w:rsidR="00211F4D" w:rsidRDefault="00211F4D" w:rsidP="00211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Miller, K. A., Munro, G. R., Sumaila, U. R., &amp; Cheung, W. W. (2013). Governing Marine Fisheries in a Changing Climate: A Game-Theoretic Perspective. </w:t>
      </w:r>
      <w:r>
        <w:rPr>
          <w:rFonts w:ascii="Helvetica" w:hAnsi="Helvetica" w:cs="Helvetica"/>
          <w:i/>
          <w:iCs/>
        </w:rPr>
        <w:t>Canadian Journal of Agricultural Economics/Revue Canadienne D'agroeconomie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i/>
          <w:iCs/>
        </w:rPr>
        <w:t>61</w:t>
      </w:r>
      <w:r>
        <w:rPr>
          <w:rFonts w:ascii="Helvetica" w:hAnsi="Helvetica" w:cs="Helvetica"/>
        </w:rPr>
        <w:t>(2), 309–334. http://doi.org/10.1111/cjag.12011</w:t>
      </w:r>
    </w:p>
    <w:p w14:paraId="71A5C1C5" w14:textId="7FAAFAF4" w:rsidR="00211F4D" w:rsidRDefault="00211F4D" w:rsidP="00211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Helvetica" w:hAnsi="Helvetica" w:cs="Helvetica"/>
        </w:rPr>
      </w:pPr>
      <w:r>
        <w:rPr>
          <w:rFonts w:ascii="Helvetica" w:hAnsi="Helvetica" w:cs="Helvetica"/>
        </w:rPr>
        <w:t>Miller, K., &amp; Munro, G. (2002). Cooperation and Conflicts in the Management of Transboundary Fishery Resources. Monterey, California: Proceeding of the Second World Conference of the Second World C</w:t>
      </w:r>
      <w:r w:rsidR="00701AF6">
        <w:rPr>
          <w:rFonts w:ascii="Helvetica" w:hAnsi="Helvetica" w:cs="Helvetica"/>
        </w:rPr>
        <w:t>o</w:t>
      </w:r>
      <w:bookmarkStart w:id="0" w:name="_GoBack"/>
      <w:bookmarkEnd w:id="0"/>
      <w:r>
        <w:rPr>
          <w:rFonts w:ascii="Helvetica" w:hAnsi="Helvetica" w:cs="Helvetica"/>
        </w:rPr>
        <w:t>ngress of the American and European Associations of Environmental and Resource Economics.</w:t>
      </w:r>
    </w:p>
    <w:p w14:paraId="7F07A0E4" w14:textId="77777777" w:rsidR="00211F4D" w:rsidRDefault="00211F4D" w:rsidP="00211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Munro, G. R. (1979). The optimal management of transboundary renewable resources. </w:t>
      </w:r>
      <w:r>
        <w:rPr>
          <w:rFonts w:ascii="Helvetica" w:hAnsi="Helvetica" w:cs="Helvetica"/>
          <w:i/>
          <w:iCs/>
        </w:rPr>
        <w:t>Canadian Journal of Economics</w:t>
      </w:r>
      <w:r>
        <w:rPr>
          <w:rFonts w:ascii="Helvetica" w:hAnsi="Helvetica" w:cs="Helvetica"/>
        </w:rPr>
        <w:t>. http://doi.org/10.2307/134727</w:t>
      </w:r>
    </w:p>
    <w:p w14:paraId="62B4549F" w14:textId="77777777" w:rsidR="00211F4D" w:rsidRDefault="00211F4D" w:rsidP="00211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Munro, G. R. (2007). Internationally shared fish stocks, the high seas, and property rights in fisheries. </w:t>
      </w:r>
      <w:r>
        <w:rPr>
          <w:rFonts w:ascii="Helvetica" w:hAnsi="Helvetica" w:cs="Helvetica"/>
          <w:i/>
          <w:iCs/>
        </w:rPr>
        <w:t>Marine Resource Economics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i/>
          <w:iCs/>
        </w:rPr>
        <w:t>22</w:t>
      </w:r>
      <w:r>
        <w:rPr>
          <w:rFonts w:ascii="Helvetica" w:hAnsi="Helvetica" w:cs="Helvetica"/>
        </w:rPr>
        <w:t>(4), 425–443. http://doi.org/10.1086/mre.22.4.42629571</w:t>
      </w:r>
    </w:p>
    <w:p w14:paraId="3B1F331A" w14:textId="77777777" w:rsidR="00211F4D" w:rsidRDefault="00211F4D" w:rsidP="00211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NASCO. (2018). North Atlantic Salmon Conservation Organization. Conserving and Restoring Wild Atlantic Salmon. Retrieved September 2018, from </w:t>
      </w:r>
      <w:hyperlink r:id="rId5" w:history="1">
        <w:r w:rsidRPr="006A0301">
          <w:rPr>
            <w:rStyle w:val="Hyperlink"/>
            <w:rFonts w:ascii="Helvetica" w:hAnsi="Helvetica" w:cs="Helvetica"/>
          </w:rPr>
          <w:t>http://www.nasco.int/</w:t>
        </w:r>
      </w:hyperlink>
    </w:p>
    <w:p w14:paraId="36F83008" w14:textId="77777777" w:rsidR="00211F4D" w:rsidRDefault="00211F4D" w:rsidP="00211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Helvetica" w:hAnsi="Helvetica" w:cs="Helvetica"/>
        </w:rPr>
      </w:pPr>
      <w:r>
        <w:rPr>
          <w:rFonts w:ascii="Helvetica" w:hAnsi="Helvetica" w:cs="Helvetica"/>
        </w:rPr>
        <w:t>NOAA - Fisheries, A. A. F. (2018</w:t>
      </w:r>
      <w:r>
        <w:rPr>
          <w:rFonts w:ascii="Helvetica" w:hAnsi="Helvetica" w:cs="Helvetica"/>
        </w:rPr>
        <w:t>). Pacific Whitening Treaty. Retrieved September 30, 2018, from https://www.westcoast.fisheries.noaa.gov/fisheries/management/whiting/pacific_whiting_treaty.html</w:t>
      </w:r>
    </w:p>
    <w:p w14:paraId="6A577699" w14:textId="77777777" w:rsidR="00211F4D" w:rsidRDefault="00211F4D" w:rsidP="00211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Payne, M. R., Barange, M., Cheung, W. W., MacKenzie, B. R., Batchelder, H. P., Cormon, X., et al. (2016). Uncertainties in projecting climate-change impacts in marine ecosystems. </w:t>
      </w:r>
      <w:r>
        <w:rPr>
          <w:rFonts w:ascii="Helvetica" w:hAnsi="Helvetica" w:cs="Helvetica"/>
          <w:i/>
          <w:iCs/>
        </w:rPr>
        <w:t>ICES Journal of Marine Science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i/>
          <w:iCs/>
        </w:rPr>
        <w:t>73</w:t>
      </w:r>
      <w:r>
        <w:rPr>
          <w:rFonts w:ascii="Helvetica" w:hAnsi="Helvetica" w:cs="Helvetica"/>
        </w:rPr>
        <w:t>(5), 1272–1282. http://doi.org/10.1093/icesjms/fsv231</w:t>
      </w:r>
    </w:p>
    <w:p w14:paraId="386DC7AA" w14:textId="77777777" w:rsidR="00211F4D" w:rsidRDefault="00211F4D" w:rsidP="00211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Pershing, A. J., Alexander, M. A., Hernandez, C. M., Kerr, L. A., Le Bris, A., Mills, K. E., et al. (2015). Slow adaptation in the face of rapid warming leads to collapse of the Gulf of Maine cod fishery. </w:t>
      </w:r>
      <w:r>
        <w:rPr>
          <w:rFonts w:ascii="Helvetica" w:hAnsi="Helvetica" w:cs="Helvetica"/>
          <w:i/>
          <w:iCs/>
        </w:rPr>
        <w:t>Science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i/>
          <w:iCs/>
        </w:rPr>
        <w:t>350</w:t>
      </w:r>
      <w:r>
        <w:rPr>
          <w:rFonts w:ascii="Helvetica" w:hAnsi="Helvetica" w:cs="Helvetica"/>
        </w:rPr>
        <w:t>(6262), 809–812. http://doi.org/10.1126/science.aac9819</w:t>
      </w:r>
    </w:p>
    <w:p w14:paraId="669196CD" w14:textId="77777777" w:rsidR="00211F4D" w:rsidRDefault="00211F4D" w:rsidP="00211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Pinsky, M. L., &amp; Fogarty, M. (2012). Lagged social-ecological responses to climate and range shifts in fisheries. </w:t>
      </w:r>
      <w:r>
        <w:rPr>
          <w:rFonts w:ascii="Helvetica" w:hAnsi="Helvetica" w:cs="Helvetica"/>
          <w:i/>
          <w:iCs/>
        </w:rPr>
        <w:t>Climatic Change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i/>
          <w:iCs/>
        </w:rPr>
        <w:t>115</w:t>
      </w:r>
      <w:r>
        <w:rPr>
          <w:rFonts w:ascii="Helvetica" w:hAnsi="Helvetica" w:cs="Helvetica"/>
        </w:rPr>
        <w:t>(3-4), 883–891. http://doi.org/10.1007/s10584-012-0599-x</w:t>
      </w:r>
    </w:p>
    <w:p w14:paraId="7A5332B3" w14:textId="77777777" w:rsidR="00211F4D" w:rsidRDefault="00211F4D" w:rsidP="00211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Pinsky, M. L., &amp; Mantua, N. J. (2014). Emerging adaptation approaches for climate-ready fisheries management. </w:t>
      </w:r>
      <w:r>
        <w:rPr>
          <w:rFonts w:ascii="Helvetica" w:hAnsi="Helvetica" w:cs="Helvetica"/>
          <w:i/>
          <w:iCs/>
        </w:rPr>
        <w:t>Ecological Applications</w:t>
      </w:r>
      <w:r>
        <w:rPr>
          <w:rFonts w:ascii="Helvetica" w:hAnsi="Helvetica" w:cs="Helvetica"/>
        </w:rPr>
        <w:t>. http://doi.org/10.2307/24862219</w:t>
      </w:r>
    </w:p>
    <w:p w14:paraId="64CD035F" w14:textId="77777777" w:rsidR="00211F4D" w:rsidRDefault="00211F4D" w:rsidP="00211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Pinsky, M. L., &amp; Selden, R. L. (2017). Climate Variability, Climate Change, and Conservation in a Dynamic Ocean. In </w:t>
      </w:r>
      <w:r>
        <w:rPr>
          <w:rFonts w:ascii="Helvetica" w:hAnsi="Helvetica" w:cs="Helvetica"/>
          <w:i/>
          <w:iCs/>
        </w:rPr>
        <w:t>Conservation for the Anthropocene Ocean: Interdisciplinary Science in Support of Nature and People</w:t>
      </w:r>
      <w:r>
        <w:rPr>
          <w:rFonts w:ascii="Helvetica" w:hAnsi="Helvetica" w:cs="Helvetica"/>
        </w:rPr>
        <w:t xml:space="preserve"> (pp. 23–38). Elsevier. http://doi.org/10.1016/B978-0-12-805375-1.00002-7</w:t>
      </w:r>
    </w:p>
    <w:p w14:paraId="28074794" w14:textId="77777777" w:rsidR="00211F4D" w:rsidRDefault="00211F4D" w:rsidP="00211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Pinsky, M. L., Reygondeau, G., Caddell, R., Palacios-Abrantes, J., Spijkers, J., &amp; Cheung, W. W. (2018). Preparing ocean governance for species on the move. </w:t>
      </w:r>
      <w:r>
        <w:rPr>
          <w:rFonts w:ascii="Helvetica" w:hAnsi="Helvetica" w:cs="Helvetica"/>
          <w:i/>
          <w:iCs/>
        </w:rPr>
        <w:t>Science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i/>
          <w:iCs/>
        </w:rPr>
        <w:t>360</w:t>
      </w:r>
      <w:r>
        <w:rPr>
          <w:rFonts w:ascii="Helvetica" w:hAnsi="Helvetica" w:cs="Helvetica"/>
        </w:rPr>
        <w:t>(6394), 1189–1191. http://doi.org/10.1126/science.aat2360</w:t>
      </w:r>
    </w:p>
    <w:p w14:paraId="3A51BA1B" w14:textId="77777777" w:rsidR="00211F4D" w:rsidRDefault="00211F4D" w:rsidP="00211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Pinsky, M. L., Worm, B., Fogarty, M. J., Sarmiento, J. L., &amp; Levin, S. A. (2013). Marine Taxa Track Local Climate Velocities. </w:t>
      </w:r>
      <w:r>
        <w:rPr>
          <w:rFonts w:ascii="Helvetica" w:hAnsi="Helvetica" w:cs="Helvetica"/>
          <w:i/>
          <w:iCs/>
        </w:rPr>
        <w:t>Science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i/>
          <w:iCs/>
        </w:rPr>
        <w:t>341</w:t>
      </w:r>
      <w:r>
        <w:rPr>
          <w:rFonts w:ascii="Helvetica" w:hAnsi="Helvetica" w:cs="Helvetica"/>
        </w:rPr>
        <w:t>(6151), 1239–1242. http://doi.org/10.1126/science.1239352</w:t>
      </w:r>
    </w:p>
    <w:p w14:paraId="6C5D6045" w14:textId="77777777" w:rsidR="00211F4D" w:rsidRDefault="00211F4D" w:rsidP="00211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Pomeroy, R., Parks, J., Pollnac, R., Campson, T., Genio, E., Marlessy, C., et al. (2007). Fish wars: Conflict and collaboration in fisheries management in Southeast Asia. </w:t>
      </w:r>
      <w:r>
        <w:rPr>
          <w:rFonts w:ascii="Helvetica" w:hAnsi="Helvetica" w:cs="Helvetica"/>
          <w:i/>
          <w:iCs/>
        </w:rPr>
        <w:t>Marine Policy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i/>
          <w:iCs/>
        </w:rPr>
        <w:t>31</w:t>
      </w:r>
      <w:r>
        <w:rPr>
          <w:rFonts w:ascii="Helvetica" w:hAnsi="Helvetica" w:cs="Helvetica"/>
        </w:rPr>
        <w:t>(6), 645–656. http://doi.org/10.1016/j.marpol.2007.03.012</w:t>
      </w:r>
    </w:p>
    <w:p w14:paraId="55431553" w14:textId="77777777" w:rsidR="00211F4D" w:rsidRDefault="00211F4D" w:rsidP="00211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PSC. (2017). Pacific Salmon Commission: About the Commission. Retrieved August 8, 2018, from </w:t>
      </w:r>
      <w:hyperlink r:id="rId6" w:history="1">
        <w:r w:rsidRPr="006A0301">
          <w:rPr>
            <w:rStyle w:val="Hyperlink"/>
            <w:rFonts w:ascii="Helvetica" w:hAnsi="Helvetica" w:cs="Helvetica"/>
          </w:rPr>
          <w:t>http://www.psc.org/about-us/</w:t>
        </w:r>
      </w:hyperlink>
    </w:p>
    <w:p w14:paraId="0995FE7A" w14:textId="77777777" w:rsidR="00211F4D" w:rsidRDefault="00211F4D" w:rsidP="00211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Schaefer, A. (1996). 1995 Canada-Spain Fishing Dispute (The TurbotWar), </w:t>
      </w:r>
      <w:r>
        <w:rPr>
          <w:rFonts w:ascii="Helvetica" w:hAnsi="Helvetica" w:cs="Helvetica"/>
          <w:i/>
          <w:iCs/>
        </w:rPr>
        <w:t>437</w:t>
      </w:r>
      <w:r>
        <w:rPr>
          <w:rFonts w:ascii="Helvetica" w:hAnsi="Helvetica" w:cs="Helvetica"/>
        </w:rPr>
        <w:t>(450), 1–15. Retrieved from http://heinonline.org/HOL/PrintRequest?collection=journals&amp;handle=hein.journals/gintenlr8&amp;div=25&amp;print=section&amp;format=PDFsearchable&amp;submit=Print%2FDownload&amp;id=445</w:t>
      </w:r>
    </w:p>
    <w:p w14:paraId="5A504252" w14:textId="77777777" w:rsidR="00211F4D" w:rsidRDefault="00211F4D" w:rsidP="00211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Soboil, M. L., &amp; Sutinen, J. G. (2006). Empirical analysis and transboundary management for Georges Bank multispecies fishery. </w:t>
      </w:r>
      <w:r>
        <w:rPr>
          <w:rFonts w:ascii="Helvetica" w:hAnsi="Helvetica" w:cs="Helvetica"/>
          <w:i/>
          <w:iCs/>
        </w:rPr>
        <w:t>Canadian Journal of Fisheries and Aquatic Sciences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i/>
          <w:iCs/>
        </w:rPr>
        <w:t>63</w:t>
      </w:r>
      <w:r>
        <w:rPr>
          <w:rFonts w:ascii="Helvetica" w:hAnsi="Helvetica" w:cs="Helvetica"/>
        </w:rPr>
        <w:t>(4), 903–916. http://doi.org/10.1139/f05-269</w:t>
      </w:r>
    </w:p>
    <w:p w14:paraId="540D1FE0" w14:textId="77777777" w:rsidR="00211F4D" w:rsidRDefault="00211F4D" w:rsidP="00211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Song, A. M., Scholtens, J., Stephen, J., Bavinck, M., &amp; Chuenpagdee, R. (2017a). Transboundary research in fisheries. </w:t>
      </w:r>
      <w:r>
        <w:rPr>
          <w:rFonts w:ascii="Helvetica" w:hAnsi="Helvetica" w:cs="Helvetica"/>
          <w:i/>
          <w:iCs/>
        </w:rPr>
        <w:t>Marine Policy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i/>
          <w:iCs/>
        </w:rPr>
        <w:t>76</w:t>
      </w:r>
      <w:r>
        <w:rPr>
          <w:rFonts w:ascii="Helvetica" w:hAnsi="Helvetica" w:cs="Helvetica"/>
        </w:rPr>
        <w:t>(C), 8–18. http://doi.org/10.1016/j.marpol.2016.10.023</w:t>
      </w:r>
    </w:p>
    <w:p w14:paraId="168CB748" w14:textId="77777777" w:rsidR="00211F4D" w:rsidRDefault="00211F4D" w:rsidP="00211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Helvetica" w:hAnsi="Helvetica" w:cs="Helvetica"/>
        </w:rPr>
      </w:pPr>
      <w:r>
        <w:rPr>
          <w:rFonts w:ascii="Helvetica" w:hAnsi="Helvetica" w:cs="Helvetica"/>
        </w:rPr>
        <w:t>Song, A. M., Temby, O., Krantzberg, G., &amp; Hickey, G. M. (2017b). Institutional Features of U.S.-Canadian Transboundary Fisheries Governance, 1–24.</w:t>
      </w:r>
    </w:p>
    <w:p w14:paraId="2F601601" w14:textId="77777777" w:rsidR="00211F4D" w:rsidRDefault="00211F4D" w:rsidP="00211F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00" w:hanging="4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Spijkers, J., &amp; Boonstra, W. J. (2017). Environmental change and social conflict: the northeast Atlantic mackerel dispute. </w:t>
      </w:r>
      <w:r>
        <w:rPr>
          <w:rFonts w:ascii="Helvetica" w:hAnsi="Helvetica" w:cs="Helvetica"/>
          <w:i/>
          <w:iCs/>
        </w:rPr>
        <w:t>Regional Environmental Change</w:t>
      </w:r>
      <w:r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  <w:i/>
          <w:iCs/>
        </w:rPr>
        <w:t>17</w:t>
      </w:r>
      <w:r>
        <w:rPr>
          <w:rFonts w:ascii="Helvetica" w:hAnsi="Helvetica" w:cs="Helvetica"/>
        </w:rPr>
        <w:t>(6), 1835–1851. http://doi.org/10.1007/s10113-017-1150-4</w:t>
      </w:r>
    </w:p>
    <w:p w14:paraId="1438FDD5" w14:textId="77777777" w:rsidR="00211F4D" w:rsidRDefault="00211F4D" w:rsidP="00211F4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United Nations. United Nations Convention on the Law of the Sea (UNCLOS) - Part V (1986). Retrieved from </w:t>
      </w:r>
      <w:hyperlink r:id="rId7" w:history="1">
        <w:r w:rsidRPr="006A0301">
          <w:rPr>
            <w:rStyle w:val="Hyperlink"/>
            <w:rFonts w:ascii="Helvetica" w:hAnsi="Helvetica" w:cs="Helvetica"/>
          </w:rPr>
          <w:t>http://www.un.org/depts/los/convention_agreements/texts/unclos/part5.htm</w:t>
        </w:r>
      </w:hyperlink>
    </w:p>
    <w:p w14:paraId="696E8335" w14:textId="77777777" w:rsidR="00211F4D" w:rsidRDefault="00211F4D" w:rsidP="00211F4D">
      <w:pPr>
        <w:rPr>
          <w:rFonts w:ascii="Helvetica" w:hAnsi="Helvetica" w:cs="Helvetica"/>
        </w:rPr>
      </w:pPr>
    </w:p>
    <w:p w14:paraId="4FAC763F" w14:textId="77777777" w:rsidR="00211F4D" w:rsidRDefault="00211F4D" w:rsidP="00211F4D">
      <w:pPr>
        <w:rPr>
          <w:rFonts w:ascii="Helvetica" w:hAnsi="Helvetica" w:cs="Helvetica"/>
        </w:rPr>
      </w:pPr>
    </w:p>
    <w:sectPr w:rsidR="00211F4D" w:rsidSect="00C74E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4D"/>
    <w:rsid w:val="000B2D32"/>
    <w:rsid w:val="00211F4D"/>
    <w:rsid w:val="003B3FA1"/>
    <w:rsid w:val="00701AF6"/>
    <w:rsid w:val="009C2427"/>
    <w:rsid w:val="00A05C46"/>
    <w:rsid w:val="00B140F1"/>
    <w:rsid w:val="00C7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C41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9C2427"/>
    <w:pPr>
      <w:keepNext/>
      <w:keepLines/>
      <w:spacing w:before="480" w:after="480"/>
      <w:jc w:val="both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6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9C2427"/>
    <w:pPr>
      <w:keepNext/>
      <w:keepLines/>
      <w:spacing w:before="200" w:line="360" w:lineRule="auto"/>
      <w:outlineLvl w:val="1"/>
    </w:pPr>
    <w:rPr>
      <w:rFonts w:ascii="Times" w:eastAsiaTheme="majorEastAsia" w:hAnsi="Times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9C2427"/>
    <w:pPr>
      <w:keepNext/>
      <w:keepLines/>
      <w:spacing w:before="200" w:line="360" w:lineRule="auto"/>
      <w:outlineLvl w:val="2"/>
    </w:pPr>
    <w:rPr>
      <w:rFonts w:ascii="Times" w:eastAsiaTheme="majorEastAsia" w:hAnsi="Times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9C2427"/>
    <w:pPr>
      <w:spacing w:after="200"/>
    </w:pPr>
    <w:rPr>
      <w:rFonts w:ascii="Times" w:hAnsi="Times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9C2427"/>
    <w:rPr>
      <w:rFonts w:ascii="Times" w:hAnsi="Times"/>
      <w:sz w:val="20"/>
    </w:rPr>
  </w:style>
  <w:style w:type="table" w:styleId="TableGrid">
    <w:name w:val="Table Grid"/>
    <w:basedOn w:val="TableNormal"/>
    <w:uiPriority w:val="39"/>
    <w:rsid w:val="00B140F1"/>
    <w:pPr>
      <w:jc w:val="center"/>
    </w:pPr>
    <w:rPr>
      <w:rFonts w:ascii="Times" w:hAnsi="Times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bottom w:val="double" w:sz="4" w:space="0" w:color="auto"/>
        </w:tcBorders>
      </w:tcPr>
    </w:tblStylePr>
    <w:tblStylePr w:type="firstCol">
      <w:pPr>
        <w:jc w:val="left"/>
      </w:pPr>
    </w:tblStylePr>
  </w:style>
  <w:style w:type="paragraph" w:customStyle="1" w:styleId="Plos">
    <w:name w:val="Plos"/>
    <w:basedOn w:val="Normal"/>
    <w:autoRedefine/>
    <w:qFormat/>
    <w:rsid w:val="009C2427"/>
    <w:pPr>
      <w:keepLines/>
      <w:spacing w:before="120" w:line="360" w:lineRule="auto"/>
      <w:ind w:firstLine="720"/>
      <w:jc w:val="both"/>
      <w:outlineLvl w:val="0"/>
    </w:pPr>
    <w:rPr>
      <w:rFonts w:ascii="Times" w:hAnsi="Times"/>
    </w:rPr>
  </w:style>
  <w:style w:type="paragraph" w:customStyle="1" w:styleId="PlosRef">
    <w:name w:val="PlosRef"/>
    <w:basedOn w:val="Normal"/>
    <w:next w:val="Normal"/>
    <w:qFormat/>
    <w:rsid w:val="009C2427"/>
    <w:rPr>
      <w:rFonts w:ascii="Times" w:hAnsi="Times"/>
      <w:kern w:val="24"/>
      <w:sz w:val="28"/>
      <w:vertAlign w:val="superscript"/>
    </w:rPr>
  </w:style>
  <w:style w:type="paragraph" w:styleId="Bibliography">
    <w:name w:val="Bibliography"/>
    <w:basedOn w:val="Normal"/>
    <w:next w:val="Normal"/>
    <w:uiPriority w:val="37"/>
    <w:semiHidden/>
    <w:unhideWhenUsed/>
    <w:rsid w:val="009C2427"/>
  </w:style>
  <w:style w:type="paragraph" w:customStyle="1" w:styleId="FirstParagraph">
    <w:name w:val="First Paragraph"/>
    <w:basedOn w:val="BodyText"/>
    <w:next w:val="BodyText"/>
    <w:autoRedefine/>
    <w:qFormat/>
    <w:rsid w:val="009C2427"/>
    <w:pPr>
      <w:spacing w:before="480" w:after="480" w:line="480" w:lineRule="auto"/>
    </w:pPr>
  </w:style>
  <w:style w:type="paragraph" w:styleId="BodyText">
    <w:name w:val="Body Text"/>
    <w:basedOn w:val="Normal"/>
    <w:link w:val="BodyTextChar"/>
    <w:qFormat/>
    <w:rsid w:val="009C2427"/>
    <w:pPr>
      <w:spacing w:before="180" w:after="180" w:line="360" w:lineRule="auto"/>
      <w:ind w:firstLine="567"/>
      <w:jc w:val="both"/>
    </w:pPr>
    <w:rPr>
      <w:rFonts w:ascii="Times" w:hAnsi="Times"/>
    </w:rPr>
  </w:style>
  <w:style w:type="character" w:customStyle="1" w:styleId="BodyTextChar">
    <w:name w:val="Body Text Char"/>
    <w:basedOn w:val="DefaultParagraphFont"/>
    <w:link w:val="BodyText"/>
    <w:rsid w:val="009C2427"/>
    <w:rPr>
      <w:rFonts w:ascii="Times" w:hAnsi="Times"/>
    </w:rPr>
  </w:style>
  <w:style w:type="character" w:customStyle="1" w:styleId="Heading2Char">
    <w:name w:val="Heading 2 Char"/>
    <w:basedOn w:val="DefaultParagraphFont"/>
    <w:link w:val="Heading2"/>
    <w:uiPriority w:val="9"/>
    <w:rsid w:val="009C2427"/>
    <w:rPr>
      <w:rFonts w:ascii="Times" w:eastAsiaTheme="majorEastAsia" w:hAnsi="Times" w:cstheme="majorBidi"/>
      <w:b/>
      <w:bCs/>
      <w:color w:val="000000" w:themeColor="text1"/>
      <w:sz w:val="32"/>
      <w:szCs w:val="32"/>
    </w:rPr>
  </w:style>
  <w:style w:type="paragraph" w:styleId="Title">
    <w:name w:val="Title"/>
    <w:basedOn w:val="Normal"/>
    <w:next w:val="BodyText"/>
    <w:link w:val="TitleChar"/>
    <w:qFormat/>
    <w:rsid w:val="009C2427"/>
    <w:pPr>
      <w:keepNext/>
      <w:keepLines/>
      <w:spacing w:before="480" w:after="240" w:line="360" w:lineRule="auto"/>
    </w:pPr>
    <w:rPr>
      <w:rFonts w:ascii="Times" w:eastAsiaTheme="majorEastAsia" w:hAnsi="Times" w:cstheme="majorBidi"/>
      <w:bCs/>
      <w:color w:val="000000" w:themeColor="text1"/>
      <w:szCs w:val="36"/>
    </w:rPr>
  </w:style>
  <w:style w:type="character" w:customStyle="1" w:styleId="TitleChar">
    <w:name w:val="Title Char"/>
    <w:basedOn w:val="DefaultParagraphFont"/>
    <w:link w:val="Title"/>
    <w:rsid w:val="009C2427"/>
    <w:rPr>
      <w:rFonts w:ascii="Times" w:eastAsiaTheme="majorEastAsia" w:hAnsi="Times" w:cstheme="majorBidi"/>
      <w:bCs/>
      <w:color w:val="000000" w:themeColor="text1"/>
      <w:szCs w:val="36"/>
    </w:rPr>
  </w:style>
  <w:style w:type="paragraph" w:customStyle="1" w:styleId="Author">
    <w:name w:val="Author"/>
    <w:next w:val="BodyText"/>
    <w:qFormat/>
    <w:rsid w:val="009C2427"/>
    <w:pPr>
      <w:keepNext/>
      <w:keepLines/>
      <w:spacing w:after="200"/>
    </w:pPr>
    <w:rPr>
      <w:rFonts w:ascii="Times" w:hAnsi="Times"/>
    </w:rPr>
  </w:style>
  <w:style w:type="character" w:customStyle="1" w:styleId="Heading1Char">
    <w:name w:val="Heading 1 Char"/>
    <w:basedOn w:val="DefaultParagraphFont"/>
    <w:link w:val="Heading1"/>
    <w:uiPriority w:val="9"/>
    <w:rsid w:val="009C2427"/>
    <w:rPr>
      <w:rFonts w:ascii="Times New Roman" w:eastAsiaTheme="majorEastAsia" w:hAnsi="Times New Roman" w:cs="Times New Roman"/>
      <w:b/>
      <w:bCs/>
      <w:color w:val="000000" w:themeColor="text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2427"/>
    <w:rPr>
      <w:rFonts w:ascii="Times" w:eastAsiaTheme="majorEastAsia" w:hAnsi="Times" w:cstheme="majorBidi"/>
      <w:b/>
      <w:bCs/>
      <w:color w:val="000000" w:themeColor="text1"/>
      <w:sz w:val="28"/>
      <w:szCs w:val="28"/>
    </w:rPr>
  </w:style>
  <w:style w:type="paragraph" w:customStyle="1" w:styleId="ImageCaption">
    <w:name w:val="Image Caption"/>
    <w:basedOn w:val="Caption"/>
    <w:autoRedefine/>
    <w:qFormat/>
    <w:rsid w:val="009C2427"/>
    <w:pPr>
      <w:keepLines/>
      <w:spacing w:after="120"/>
    </w:pPr>
    <w:rPr>
      <w:rFonts w:ascii="Times" w:hAnsi="Times"/>
      <w:b/>
      <w:i w:val="0"/>
      <w:iCs w:val="0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2427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11F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iphc.int/publications/annual/IPHC-2017-AR16.pdf" TargetMode="External"/><Relationship Id="rId5" Type="http://schemas.openxmlformats.org/officeDocument/2006/relationships/hyperlink" Target="http://www.nasco.int/" TargetMode="External"/><Relationship Id="rId6" Type="http://schemas.openxmlformats.org/officeDocument/2006/relationships/hyperlink" Target="http://www.psc.org/about-us/" TargetMode="External"/><Relationship Id="rId7" Type="http://schemas.openxmlformats.org/officeDocument/2006/relationships/hyperlink" Target="http://www.un.org/depts/los/convention_agreements/texts/unclos/part5.ht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1200</Words>
  <Characters>6844</Characters>
  <Application>Microsoft Macintosh Word</Application>
  <DocSecurity>0</DocSecurity>
  <Lines>57</Lines>
  <Paragraphs>16</Paragraphs>
  <ScaleCrop>false</ScaleCrop>
  <LinksUpToDate>false</LinksUpToDate>
  <CharactersWithSpaces>8028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Palacios Abrantes</dc:creator>
  <cp:keywords/>
  <dc:description/>
  <cp:lastModifiedBy>Juliano Palacios Abrantes</cp:lastModifiedBy>
  <cp:revision>2</cp:revision>
  <dcterms:created xsi:type="dcterms:W3CDTF">2018-09-30T18:47:00Z</dcterms:created>
  <dcterms:modified xsi:type="dcterms:W3CDTF">2018-09-30T19:01:00Z</dcterms:modified>
</cp:coreProperties>
</file>