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Driftsrapport Q1 2026 - Medlemsservice</w:t>
      </w:r>
    </w:p>
    <w:p>
      <w:r>
        <w:t>Periode: 1. januar – 31. marts 2026</w:t>
      </w:r>
    </w:p>
    <w:p>
      <w:r>
        <w:t>Afdeling: Member Services, NordPension</w:t>
      </w:r>
    </w:p>
    <w:p>
      <w:pPr>
        <w:pStyle w:val="Heading2"/>
      </w:pPr>
      <w:r>
        <w:t>Sagsvolumen</w:t>
      </w:r>
    </w:p>
    <w:p>
      <w:r>
        <w:t>Vi har i Q1 modtaget 318 sager, hvilket svarer til en stigning paa 6,4 % sammenlignet med Q4 2025 (299 sager). Stigningen skyldes primaert spoergsmaal omkring den nye digitale aarsoversigt, der blev udsendt i februar. Det samlede aarlige sagsestimate ligger fortsat omkring 1.230 sager, i traad med budgettet.</w:t>
      </w:r>
    </w:p>
    <w:p>
      <w:pPr>
        <w:pStyle w:val="Heading2"/>
      </w:pPr>
      <w:r>
        <w:t>SLA-performance</w:t>
      </w:r>
    </w:p>
    <w:p>
      <w:r>
        <w:t>94,1 % af alle sager er besvaret indenfor 5 hverdage (SLA-maal: 95 %). Vi rammer altsaa 0,9 procentpoint under maalet. Det er den foerste gang i 2025/26, vi ligger under, og det haenger sammen med en konkret driftshaendelse i februar (se nedenfor).</w:t>
      </w:r>
    </w:p>
    <w:p>
      <w:pPr>
        <w:pStyle w:val="Heading2"/>
      </w:pPr>
      <w:r>
        <w:t>Klage-temaer</w:t>
      </w:r>
    </w:p>
    <w:p>
      <w:r>
        <w:t>Klagebilledet er domineret af digital kommunikation: 31 ud af 47 klager i kvartalet handler om problemer med e-Boks-levering, manglende notifikationer eller misforstaaelser omkring den nye selvbetjening. Det er en fortsaettelse af en trend vi har set hele 2025.</w:t>
      </w:r>
    </w:p>
    <w:p>
      <w:pPr>
        <w:pStyle w:val="Heading2"/>
      </w:pPr>
      <w:r>
        <w:t>Bekymring: e-Boks-svartider i februar</w:t>
      </w:r>
    </w:p>
    <w:p>
      <w:r>
        <w:t>I uge 7-8 oplevede vi forsinkelser paa op til 72 timer i levering af e-Boks-breve, som foelge af et integrationsproblem hos vores driftsleverandoer. 412 medlemmer blev beroert. IT &amp; Digital arbejder paa en root-cause-analyse, der ventes faerdig medio april. Vi har sendt undskyldningsbrev til alle beroerte medlemmer.</w:t>
      </w:r>
    </w:p>
    <w:p>
      <w:pPr>
        <w:pStyle w:val="Heading2"/>
      </w:pPr>
      <w:r>
        <w:t>Rekruttering</w:t>
      </w:r>
    </w:p>
    <w:p>
      <w:r>
        <w:t>To stillinger som sagsbehandler er besat pr. 1. marts (Mette og Soren). En tredje stilling er fortsat ledig - vi forventer at kunne ansaette inden udgangen af Q2. Indtil da koerer vi med overarbejde, hvilket presser MTU-tallene i afdelingen.</w:t>
      </w:r>
    </w:p>
    <w:p>
      <w:pPr>
        <w:pStyle w:val="Heading2"/>
      </w:pPr>
      <w:r>
        <w:t>Opsummering</w:t>
      </w:r>
    </w:p>
    <w:p>
      <w:r>
        <w:t>Q1 har vaeret et solidt kvartal i volumen, men SLA-tallet og klagebilledet omkring digital kommunikation er tegn vi skal tage alvorligt. Forslag til direktionsmoedet: afsaet ressourcer til en dedikeret indsats paa digital medlemskommunikation i Q2/Q3.</w:t>
      </w:r>
    </w:p>
    <w:p/>
    <w:p>
      <w:r>
        <w:t>Med venlig hilsen</w:t>
      </w:r>
    </w:p>
    <w:p>
      <w:r>
        <w:t>Camilla Holm</w:t>
      </w:r>
    </w:p>
    <w:p>
      <w:r>
        <w:t>Afdelingsleder, Member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