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1D44" w14:textId="77777777" w:rsidR="00270FEB" w:rsidRDefault="00270FEB" w:rsidP="00270FEB">
      <w:pPr>
        <w:spacing w:after="0"/>
      </w:pPr>
      <w:r>
        <w:t>Jennifer Reed</w:t>
      </w:r>
    </w:p>
    <w:p w14:paraId="4D9E80A9" w14:textId="77777777" w:rsidR="00270FEB" w:rsidRDefault="00270FEB" w:rsidP="00270FEB">
      <w:pPr>
        <w:spacing w:after="0"/>
      </w:pPr>
      <w:r>
        <w:t>BIOT E-104 Bioinformatics | Final Project Proposal</w:t>
      </w:r>
    </w:p>
    <w:p w14:paraId="18A8C791" w14:textId="49CEE027" w:rsidR="00270FEB" w:rsidRDefault="00270FEB" w:rsidP="00270FEB">
      <w:pPr>
        <w:spacing w:after="0"/>
      </w:pPr>
      <w:r>
        <w:t>12/15/2025</w:t>
      </w:r>
    </w:p>
    <w:p w14:paraId="2198221A" w14:textId="77777777" w:rsidR="000E3941" w:rsidRDefault="000E3941" w:rsidP="00270FEB">
      <w:pPr>
        <w:spacing w:after="0"/>
        <w:rPr>
          <w:b/>
          <w:bCs/>
          <w:sz w:val="36"/>
          <w:szCs w:val="36"/>
        </w:rPr>
      </w:pPr>
    </w:p>
    <w:p w14:paraId="1DFCC238" w14:textId="7A657721" w:rsidR="00270FEB" w:rsidRPr="000E3941" w:rsidRDefault="00270FEB" w:rsidP="00BA3DEA">
      <w:pPr>
        <w:spacing w:after="0" w:line="240" w:lineRule="auto"/>
        <w:jc w:val="center"/>
        <w:rPr>
          <w:b/>
          <w:bCs/>
          <w:sz w:val="36"/>
          <w:szCs w:val="36"/>
        </w:rPr>
      </w:pPr>
      <w:r w:rsidRPr="000E3941">
        <w:rPr>
          <w:b/>
          <w:bCs/>
          <w:sz w:val="36"/>
          <w:szCs w:val="36"/>
        </w:rPr>
        <w:t>Coordinated Gene Expression Aging Across Brain and Peripheral Tissues: A Complementary Bioinformatics Analysis Using GTEx v10</w:t>
      </w:r>
    </w:p>
    <w:p w14:paraId="04B3AF32" w14:textId="77777777" w:rsidR="00270FEB" w:rsidRDefault="00270FEB" w:rsidP="00270FEB">
      <w:pPr>
        <w:spacing w:after="0"/>
      </w:pPr>
    </w:p>
    <w:p w14:paraId="7C54C443" w14:textId="77777777" w:rsidR="00270FEB" w:rsidRPr="000E3941" w:rsidRDefault="00270FEB" w:rsidP="00270FEB">
      <w:pPr>
        <w:spacing w:after="0"/>
        <w:rPr>
          <w:b/>
          <w:bCs/>
          <w:sz w:val="28"/>
          <w:szCs w:val="28"/>
        </w:rPr>
      </w:pPr>
      <w:r w:rsidRPr="000E3941">
        <w:rPr>
          <w:b/>
          <w:bCs/>
          <w:sz w:val="28"/>
          <w:szCs w:val="28"/>
        </w:rPr>
        <w:t>Abstract</w:t>
      </w:r>
    </w:p>
    <w:p w14:paraId="5AFA39E5" w14:textId="77777777" w:rsidR="00270FEB" w:rsidRDefault="00270FEB" w:rsidP="00270FEB">
      <w:pPr>
        <w:spacing w:after="0"/>
      </w:pPr>
    </w:p>
    <w:p w14:paraId="4C8BF443" w14:textId="77777777" w:rsidR="00270FEB" w:rsidRDefault="00270FEB" w:rsidP="00270FEB">
      <w:pPr>
        <w:spacing w:after="0"/>
      </w:pPr>
      <w:r>
        <w:t>Aging exerts pervasive effects on gene-expression programs throughout the human body, yet the degree to which molecular aging in peripheral organs parallels that of the brain remains incompletely understood. The brain’s susceptibility to metabolic, vascular, and inflammatory influences suggests that systemic biological changes may coordinate with neural aging to shape cognitive resilience and neurodegenerative vulnerability. This project applies open-access GTEx v10 transcriptomic data to examine coordinated age-related gene-expression patterns across brain, heart, and blood tissues. Two complementary computational frameworks are used. Pipeline A employs DESeq2-based differential-expression modeling followed by cross-tissue correlation and pathway enrichment to quantify gene-level aging signatures. Pipeline B implements Weighted Gene Co-expression Network Analysis (WGCNA) on variance-stabilized expression data to identify higher-order gene modules that co-age across tissues. Donors are stringently filtered by RNA quality (RIN &gt; 5.7), short post-mortem interval, and rapid death (Hardy 1–2). Together, these analyses provide a multi-scale view of how peripheral and neural aging processes intersect, linking systemic molecular decline to mechanisms of brain aging, resilience, and disease risk.</w:t>
      </w:r>
    </w:p>
    <w:p w14:paraId="302681A9" w14:textId="77777777" w:rsidR="00270FEB" w:rsidRDefault="00270FEB" w:rsidP="00270FEB">
      <w:pPr>
        <w:spacing w:after="0"/>
      </w:pPr>
    </w:p>
    <w:p w14:paraId="504909A2" w14:textId="77777777" w:rsidR="00270FEB" w:rsidRPr="000E3941" w:rsidRDefault="00270FEB" w:rsidP="00270FEB">
      <w:pPr>
        <w:spacing w:after="0"/>
        <w:rPr>
          <w:b/>
          <w:bCs/>
          <w:sz w:val="28"/>
          <w:szCs w:val="28"/>
        </w:rPr>
      </w:pPr>
      <w:r w:rsidRPr="000E3941">
        <w:rPr>
          <w:b/>
          <w:bCs/>
          <w:sz w:val="28"/>
          <w:szCs w:val="28"/>
        </w:rPr>
        <w:t>1. Introduction and Background</w:t>
      </w:r>
    </w:p>
    <w:p w14:paraId="1D037281" w14:textId="77777777" w:rsidR="00270FEB" w:rsidRDefault="00270FEB" w:rsidP="00270FEB">
      <w:pPr>
        <w:spacing w:after="0"/>
      </w:pPr>
    </w:p>
    <w:p w14:paraId="284C92DC" w14:textId="77777777" w:rsidR="00270FEB" w:rsidRPr="000E3941" w:rsidRDefault="00270FEB" w:rsidP="00270FEB">
      <w:pPr>
        <w:spacing w:after="0"/>
        <w:rPr>
          <w:b/>
          <w:bCs/>
        </w:rPr>
      </w:pPr>
      <w:r w:rsidRPr="000E3941">
        <w:rPr>
          <w:b/>
          <w:bCs/>
        </w:rPr>
        <w:t>1.1 Biological Context</w:t>
      </w:r>
    </w:p>
    <w:p w14:paraId="1CAACD27" w14:textId="77777777" w:rsidR="00270FEB" w:rsidRDefault="00270FEB" w:rsidP="00270FEB">
      <w:pPr>
        <w:spacing w:after="0"/>
      </w:pPr>
      <w:r>
        <w:t xml:space="preserve">Aging is not an isolated process within any single organ but a synchronized re-programming of cellular function across the body. In humans, transcriptomic surveys consistently demonstrate down-regulation of mitochondrial and </w:t>
      </w:r>
      <w:proofErr w:type="spellStart"/>
      <w:r>
        <w:t>proteostatic</w:t>
      </w:r>
      <w:proofErr w:type="spellEnd"/>
      <w:r>
        <w:t xml:space="preserve"> genes and up-regulation of immune, inflammatory, and stress-response pathways with advancing age. The brain exemplifies this systemic complexity: neurons experience mitochondrial strain, impaired lipid metabolism, and increased microglial activation, while peripheral organs undergo </w:t>
      </w:r>
      <w:r>
        <w:lastRenderedPageBreak/>
        <w:t>parallel metabolic and immune transitions that influence cerebral homeostasis through vascular and endocrine signaling.</w:t>
      </w:r>
    </w:p>
    <w:p w14:paraId="5F8D12BB" w14:textId="77777777" w:rsidR="00270FEB" w:rsidRDefault="00270FEB" w:rsidP="00270FEB">
      <w:pPr>
        <w:spacing w:after="0"/>
      </w:pPr>
    </w:p>
    <w:p w14:paraId="4214674D" w14:textId="77777777" w:rsidR="00270FEB" w:rsidRDefault="00270FEB" w:rsidP="00270FEB">
      <w:pPr>
        <w:spacing w:after="0"/>
      </w:pPr>
      <w:r>
        <w:t>Recent cross-tissue analyses of the Genotype-Tissue Expression (GTEx) project have shown that although many age-related gene changes are tissue-specific, a subset of biological pathways—particularly those related to oxidative phosphorylation, extracellular-matrix remodeling, and immune signaling—display coordinated directional shifts in multiple organs. For example, aging signatures in heart and lung often mirror those in blood, implying common systemic regulators such as cytokine networks or mitochondrial efficiency. Such “co-aging” patterns suggest that peripheral molecular states can serve as windows into central nervous-system aging.</w:t>
      </w:r>
    </w:p>
    <w:p w14:paraId="23CBC6DF" w14:textId="77777777" w:rsidR="00270FEB" w:rsidRDefault="00270FEB" w:rsidP="00270FEB">
      <w:pPr>
        <w:spacing w:after="0"/>
      </w:pPr>
    </w:p>
    <w:p w14:paraId="5B9920F1" w14:textId="77777777" w:rsidR="00270FEB" w:rsidRPr="000E3941" w:rsidRDefault="00270FEB" w:rsidP="00270FEB">
      <w:pPr>
        <w:spacing w:after="0"/>
        <w:rPr>
          <w:b/>
          <w:bCs/>
        </w:rPr>
      </w:pPr>
      <w:r w:rsidRPr="000E3941">
        <w:rPr>
          <w:b/>
          <w:bCs/>
        </w:rPr>
        <w:t>1.2 Rationale for a Brain-Centered Perspective</w:t>
      </w:r>
    </w:p>
    <w:p w14:paraId="1C91A5C7" w14:textId="77777777" w:rsidR="00270FEB" w:rsidRDefault="00270FEB" w:rsidP="00270FEB">
      <w:pPr>
        <w:spacing w:after="0"/>
      </w:pPr>
      <w:r>
        <w:t>The brain is metabolically expensive and uniquely sensitive to peripheral physiological status. Vascular stiffness, chronic low-grade inflammation, and altered lipid metabolism—all hallmarks of peripheral aging—directly compromise cerebral perfusion, blood–brain-barrier integrity, and neuronal signaling. Conversely, neuroendocrine and autonomic feedback from the brain modulate systemic metabolism and immunity. This bidirectional communication implies that understanding brain aging requires viewing the nervous system within its body-wide molecular context.</w:t>
      </w:r>
    </w:p>
    <w:p w14:paraId="1A91902C" w14:textId="77777777" w:rsidR="00270FEB" w:rsidRDefault="00270FEB" w:rsidP="00270FEB">
      <w:pPr>
        <w:spacing w:after="0"/>
      </w:pPr>
    </w:p>
    <w:p w14:paraId="5D54A965" w14:textId="77777777" w:rsidR="00270FEB" w:rsidRDefault="00270FEB" w:rsidP="00270FEB">
      <w:pPr>
        <w:spacing w:after="0"/>
      </w:pPr>
      <w:r>
        <w:t>By focusing on the frontal cortex (BA9) as the central node and comparing it with heart (left ventricle) and whole blood, the present study interrogates how systemic and neural aging programs align. These tissues represent three major physiological axes—neural, cardiovascular, and immune—that together capture the interplay between metabolic energy supply, vascular delivery, and inflammatory regulation. Identifying shared and divergent transcriptional trajectories among them offers mechanistic insight into how aging of the body constrains or supports brain resilience.</w:t>
      </w:r>
    </w:p>
    <w:p w14:paraId="13F3777D" w14:textId="77777777" w:rsidR="00270FEB" w:rsidRDefault="00270FEB" w:rsidP="00270FEB">
      <w:pPr>
        <w:spacing w:after="0"/>
      </w:pPr>
    </w:p>
    <w:p w14:paraId="7E3BAA2F" w14:textId="77777777" w:rsidR="00270FEB" w:rsidRPr="000E3941" w:rsidRDefault="00270FEB" w:rsidP="00270FEB">
      <w:pPr>
        <w:spacing w:after="0"/>
        <w:rPr>
          <w:b/>
          <w:bCs/>
        </w:rPr>
      </w:pPr>
      <w:r w:rsidRPr="000E3941">
        <w:rPr>
          <w:b/>
          <w:bCs/>
        </w:rPr>
        <w:t>1.3 Computational and Educational Motivation</w:t>
      </w:r>
    </w:p>
    <w:p w14:paraId="51FCBA9E" w14:textId="77777777" w:rsidR="00270FEB" w:rsidRDefault="00270FEB" w:rsidP="00270FEB">
      <w:pPr>
        <w:spacing w:after="0"/>
      </w:pPr>
      <w:r>
        <w:t>This investigation is designed as a bioinformatics research project within the RNA-seq analysis framework taught in the course. It applies core concepts from the lectures—short-read alignment, read quantification, normalization, and statistical modeling—while extending them to a neuroscience question of translational relevance. The project intentionally integrates two analytic philosophies emphasized in class:</w:t>
      </w:r>
    </w:p>
    <w:p w14:paraId="67902ED1" w14:textId="77777777" w:rsidR="00270FEB" w:rsidRDefault="00270FEB" w:rsidP="00270FEB">
      <w:pPr>
        <w:spacing w:after="0"/>
      </w:pPr>
    </w:p>
    <w:p w14:paraId="2160E597" w14:textId="77777777" w:rsidR="00270FEB" w:rsidRDefault="00270FEB" w:rsidP="00270FEB">
      <w:pPr>
        <w:spacing w:after="0"/>
      </w:pPr>
      <w:r w:rsidRPr="000E3941">
        <w:rPr>
          <w:b/>
          <w:bCs/>
        </w:rPr>
        <w:t>Pipeline A:</w:t>
      </w:r>
      <w:r>
        <w:t xml:space="preserve"> Differential Expression Analysis (DESeq2), which treats each gene independently to estimate the quantitative effect of age on expression.</w:t>
      </w:r>
    </w:p>
    <w:p w14:paraId="1D548748" w14:textId="77777777" w:rsidR="00270FEB" w:rsidRDefault="00270FEB" w:rsidP="00270FEB">
      <w:pPr>
        <w:spacing w:after="0"/>
      </w:pPr>
    </w:p>
    <w:p w14:paraId="4ED69C30" w14:textId="77777777" w:rsidR="00270FEB" w:rsidRDefault="00270FEB" w:rsidP="00270FEB">
      <w:pPr>
        <w:spacing w:after="0"/>
      </w:pPr>
      <w:r w:rsidRPr="000E3941">
        <w:rPr>
          <w:b/>
          <w:bCs/>
        </w:rPr>
        <w:t>Pipeline B:</w:t>
      </w:r>
      <w:r>
        <w:t xml:space="preserve"> Co-Expression Network Analysis (WGCNA), which groups genes by correlation structure to uncover coordinated modules representing biological systems.</w:t>
      </w:r>
    </w:p>
    <w:p w14:paraId="1A32BEC6" w14:textId="77777777" w:rsidR="00270FEB" w:rsidRDefault="00270FEB" w:rsidP="00270FEB">
      <w:pPr>
        <w:spacing w:after="0"/>
      </w:pPr>
    </w:p>
    <w:p w14:paraId="27CD6389" w14:textId="77777777" w:rsidR="00270FEB" w:rsidRDefault="00270FEB" w:rsidP="00270FEB">
      <w:pPr>
        <w:spacing w:after="0"/>
      </w:pPr>
      <w:r>
        <w:t>Rather than comparing which pipeline performs “better,” the goal is to demonstrate how gene-level and network-level frameworks provide complementary insights into the same biological problem—offering a fuller picture of aging as both a collection of individual molecular events and a reorganization of inter-gene relationships.</w:t>
      </w:r>
    </w:p>
    <w:p w14:paraId="0D703BB1" w14:textId="77777777" w:rsidR="00270FEB" w:rsidRDefault="00270FEB" w:rsidP="00270FEB">
      <w:pPr>
        <w:spacing w:after="0"/>
      </w:pPr>
    </w:p>
    <w:p w14:paraId="25AE9C44" w14:textId="77777777" w:rsidR="00270FEB" w:rsidRPr="000E3941" w:rsidRDefault="00270FEB" w:rsidP="00270FEB">
      <w:pPr>
        <w:spacing w:after="0"/>
        <w:rPr>
          <w:b/>
          <w:bCs/>
        </w:rPr>
      </w:pPr>
      <w:r w:rsidRPr="000E3941">
        <w:rPr>
          <w:b/>
          <w:bCs/>
        </w:rPr>
        <w:t>1.4 Scientific Significance</w:t>
      </w:r>
    </w:p>
    <w:p w14:paraId="36ADA190" w14:textId="77777777" w:rsidR="00270FEB" w:rsidRDefault="00270FEB" w:rsidP="00270FEB">
      <w:pPr>
        <w:spacing w:after="0"/>
      </w:pPr>
      <w:r>
        <w:t>From a systems-neuroscience standpoint, clarifying cross-tissue coordination of aging addresses several fundamental questions:</w:t>
      </w:r>
    </w:p>
    <w:p w14:paraId="3E1BE861" w14:textId="77777777" w:rsidR="00270FEB" w:rsidRDefault="00270FEB" w:rsidP="00270FEB">
      <w:pPr>
        <w:spacing w:after="0"/>
      </w:pPr>
    </w:p>
    <w:p w14:paraId="4FAEADA0" w14:textId="5CCE2CC5" w:rsidR="00270FEB" w:rsidRPr="000E3941" w:rsidRDefault="00270FEB" w:rsidP="00270FEB">
      <w:pPr>
        <w:spacing w:after="0"/>
        <w:rPr>
          <w:i/>
          <w:iCs/>
        </w:rPr>
      </w:pPr>
      <w:r w:rsidRPr="000E3941">
        <w:rPr>
          <w:i/>
          <w:iCs/>
        </w:rPr>
        <w:t>•</w:t>
      </w:r>
      <w:r w:rsidR="000E3941" w:rsidRPr="000E3941">
        <w:rPr>
          <w:i/>
          <w:iCs/>
        </w:rPr>
        <w:t xml:space="preserve"> </w:t>
      </w:r>
      <w:r w:rsidRPr="000E3941">
        <w:rPr>
          <w:i/>
          <w:iCs/>
        </w:rPr>
        <w:t>Are age-related molecular trajectories in the brain mirrored in peripheral organs?</w:t>
      </w:r>
    </w:p>
    <w:p w14:paraId="7B47AB89" w14:textId="2C3C735A" w:rsidR="00270FEB" w:rsidRPr="000E3941" w:rsidRDefault="00270FEB" w:rsidP="00270FEB">
      <w:pPr>
        <w:spacing w:after="0"/>
        <w:rPr>
          <w:i/>
          <w:iCs/>
        </w:rPr>
      </w:pPr>
      <w:r w:rsidRPr="000E3941">
        <w:rPr>
          <w:i/>
          <w:iCs/>
        </w:rPr>
        <w:t>•</w:t>
      </w:r>
      <w:r w:rsidR="000E3941" w:rsidRPr="000E3941">
        <w:rPr>
          <w:i/>
          <w:iCs/>
        </w:rPr>
        <w:t xml:space="preserve"> </w:t>
      </w:r>
      <w:r w:rsidRPr="000E3941">
        <w:rPr>
          <w:i/>
          <w:iCs/>
        </w:rPr>
        <w:t>Which biological pathways exhibit the strongest cross-tissue synchronization?</w:t>
      </w:r>
    </w:p>
    <w:p w14:paraId="078CB3DD" w14:textId="0275893E" w:rsidR="00270FEB" w:rsidRPr="000E3941" w:rsidRDefault="00270FEB" w:rsidP="00270FEB">
      <w:pPr>
        <w:spacing w:after="0"/>
        <w:rPr>
          <w:i/>
          <w:iCs/>
        </w:rPr>
      </w:pPr>
      <w:r w:rsidRPr="000E3941">
        <w:rPr>
          <w:i/>
          <w:iCs/>
        </w:rPr>
        <w:t>•</w:t>
      </w:r>
      <w:r w:rsidR="000E3941" w:rsidRPr="000E3941">
        <w:rPr>
          <w:i/>
          <w:iCs/>
        </w:rPr>
        <w:t xml:space="preserve"> </w:t>
      </w:r>
      <w:r w:rsidRPr="000E3941">
        <w:rPr>
          <w:i/>
          <w:iCs/>
        </w:rPr>
        <w:t>Can peripheral expression signatures serve as proxies for brain aging or cognitive decline?</w:t>
      </w:r>
    </w:p>
    <w:p w14:paraId="3BDCD9F6" w14:textId="77777777" w:rsidR="00270FEB" w:rsidRDefault="00270FEB" w:rsidP="00270FEB">
      <w:pPr>
        <w:spacing w:after="0"/>
      </w:pPr>
    </w:p>
    <w:p w14:paraId="22A28072" w14:textId="77777777" w:rsidR="00270FEB" w:rsidRDefault="00270FEB" w:rsidP="00270FEB">
      <w:pPr>
        <w:spacing w:after="0"/>
      </w:pPr>
      <w:r>
        <w:t>Answering these questions contributes to the emerging field of brain-body resilience biology, which seeks to define molecular determinants of why some individuals maintain neural function despite systemic aging. The project also establishes a reproducible computational pipeline using open-access GTEx data—creating a platform that can later be extended to additional tissues, sex-specific analyses, or comparison with plasma proteomic aging signatures from studies such as Oh et al., 2023.</w:t>
      </w:r>
    </w:p>
    <w:p w14:paraId="4F26533B" w14:textId="77777777" w:rsidR="00270FEB" w:rsidRDefault="00270FEB" w:rsidP="00270FEB">
      <w:pPr>
        <w:spacing w:after="0"/>
      </w:pPr>
    </w:p>
    <w:p w14:paraId="0C53D2A8" w14:textId="77777777" w:rsidR="00270FEB" w:rsidRPr="000E3941" w:rsidRDefault="00270FEB" w:rsidP="00270FEB">
      <w:pPr>
        <w:spacing w:after="0"/>
        <w:rPr>
          <w:b/>
          <w:bCs/>
        </w:rPr>
      </w:pPr>
      <w:r w:rsidRPr="000E3941">
        <w:rPr>
          <w:b/>
          <w:bCs/>
        </w:rPr>
        <w:t>1.5 Overview of Analytical Design</w:t>
      </w:r>
    </w:p>
    <w:p w14:paraId="06C530CE" w14:textId="77777777" w:rsidR="00270FEB" w:rsidRDefault="00270FEB" w:rsidP="00270FEB">
      <w:pPr>
        <w:spacing w:after="0"/>
      </w:pPr>
      <w:r>
        <w:t>Figure 1 (described below) outlines the study’s dual-pipeline architecture. Each pipeline begins with standard RNA-seq preprocessing—quality control, adapter trimming, spliced alignment, and read counting via featureCounts—and diverges at the analytical stage to address different biological levels of interpretation.</w:t>
      </w:r>
    </w:p>
    <w:p w14:paraId="55EE0409" w14:textId="77777777" w:rsidR="00270FEB" w:rsidRDefault="00270FEB" w:rsidP="00270FEB">
      <w:pPr>
        <w:spacing w:after="0"/>
      </w:pPr>
    </w:p>
    <w:p w14:paraId="271DA5C3" w14:textId="77777777" w:rsidR="00270FEB" w:rsidRPr="000E3941" w:rsidRDefault="00270FEB" w:rsidP="00270FEB">
      <w:pPr>
        <w:spacing w:after="0"/>
        <w:rPr>
          <w:b/>
          <w:bCs/>
        </w:rPr>
      </w:pPr>
      <w:r w:rsidRPr="000E3941">
        <w:rPr>
          <w:b/>
          <w:bCs/>
        </w:rPr>
        <w:t>Figure 1 | Conceptual Overview of Computational Pipelines</w:t>
      </w:r>
    </w:p>
    <w:p w14:paraId="741F935E" w14:textId="77777777" w:rsidR="000E3941" w:rsidRDefault="000E3941" w:rsidP="00270FEB">
      <w:pPr>
        <w:spacing w:after="0"/>
        <w:rPr>
          <w:b/>
          <w:bCs/>
        </w:rPr>
      </w:pPr>
    </w:p>
    <w:p w14:paraId="696CFBD3" w14:textId="23E06F6E" w:rsidR="00270FEB" w:rsidRPr="000E3941" w:rsidRDefault="00270FEB" w:rsidP="00270FEB">
      <w:pPr>
        <w:spacing w:after="0"/>
        <w:rPr>
          <w:b/>
          <w:bCs/>
        </w:rPr>
      </w:pPr>
      <w:r w:rsidRPr="000E3941">
        <w:rPr>
          <w:b/>
          <w:bCs/>
        </w:rPr>
        <w:t>Computational Research Question:</w:t>
      </w:r>
    </w:p>
    <w:p w14:paraId="1505BB80" w14:textId="77777777" w:rsidR="00270FEB" w:rsidRDefault="00270FEB" w:rsidP="00270FEB">
      <w:pPr>
        <w:spacing w:after="0"/>
      </w:pPr>
      <w:r>
        <w:t>How do coordinated gene-expression changes in the human brain and peripheral tissues evolve with age, and how can complementary computational frameworks reveal their shared biological underpinnings?</w:t>
      </w:r>
    </w:p>
    <w:p w14:paraId="6A46ED82" w14:textId="77777777" w:rsidR="00DD6333" w:rsidRDefault="00DD6333" w:rsidP="00270FEB">
      <w:pPr>
        <w:spacing w:after="0"/>
        <w:rPr>
          <w:b/>
          <w:bCs/>
        </w:rPr>
      </w:pPr>
    </w:p>
    <w:p w14:paraId="745F859C" w14:textId="104CB84C" w:rsidR="00270FEB" w:rsidRPr="000E3941" w:rsidRDefault="00270FEB" w:rsidP="00270FEB">
      <w:pPr>
        <w:spacing w:after="0"/>
        <w:rPr>
          <w:b/>
          <w:bCs/>
        </w:rPr>
      </w:pPr>
      <w:r w:rsidRPr="000E3941">
        <w:rPr>
          <w:b/>
          <w:bCs/>
        </w:rPr>
        <w:t>Pipeline A – Differential Expression Framework (DESeq2)</w:t>
      </w:r>
    </w:p>
    <w:p w14:paraId="0F959734" w14:textId="77777777" w:rsidR="00270FEB" w:rsidRDefault="00270FEB" w:rsidP="00270FEB">
      <w:pPr>
        <w:spacing w:after="0"/>
      </w:pPr>
      <w:r>
        <w:lastRenderedPageBreak/>
        <w:t>FastQC → Trimmomatic → HISAT2 → featureCounts → DESeq2 → Cross-Tissue Correlation &amp; Enrichment Analysis → Output A: age-associated DE genes, correlation plots, enriched pathways.</w:t>
      </w:r>
    </w:p>
    <w:p w14:paraId="78D65E29" w14:textId="77777777" w:rsidR="00270FEB" w:rsidRDefault="00270FEB" w:rsidP="00270FEB">
      <w:pPr>
        <w:spacing w:after="0"/>
      </w:pPr>
    </w:p>
    <w:p w14:paraId="52E7348B" w14:textId="77777777" w:rsidR="00270FEB" w:rsidRPr="000E3941" w:rsidRDefault="00270FEB" w:rsidP="00270FEB">
      <w:pPr>
        <w:spacing w:after="0"/>
        <w:rPr>
          <w:b/>
          <w:bCs/>
        </w:rPr>
      </w:pPr>
      <w:r w:rsidRPr="000E3941">
        <w:rPr>
          <w:b/>
          <w:bCs/>
        </w:rPr>
        <w:t>Pipeline B – Co-Expression Network Framework (WGCNA)</w:t>
      </w:r>
    </w:p>
    <w:p w14:paraId="0AD796D6" w14:textId="77777777" w:rsidR="00270FEB" w:rsidRDefault="00270FEB" w:rsidP="00270FEB">
      <w:pPr>
        <w:spacing w:after="0"/>
      </w:pPr>
      <w:r>
        <w:t>FastQC → Trimmomatic → HISAT2 → featureCounts → DESeq2 (variance-stabilized counts) → WGCNA → Output B: co-aging modules, module–trait correlations, shared network signatures.</w:t>
      </w:r>
    </w:p>
    <w:p w14:paraId="0BC23728" w14:textId="77777777" w:rsidR="00270FEB" w:rsidRDefault="00270FEB" w:rsidP="00270FEB">
      <w:pPr>
        <w:spacing w:after="0"/>
      </w:pPr>
    </w:p>
    <w:p w14:paraId="34CAC1D7" w14:textId="77777777" w:rsidR="00270FEB" w:rsidRPr="000E3941" w:rsidRDefault="00270FEB" w:rsidP="00270FEB">
      <w:pPr>
        <w:spacing w:after="0"/>
        <w:rPr>
          <w:b/>
          <w:bCs/>
        </w:rPr>
      </w:pPr>
      <w:r w:rsidRPr="000E3941">
        <w:rPr>
          <w:b/>
          <w:bCs/>
        </w:rPr>
        <w:t>Integration (A + B):</w:t>
      </w:r>
    </w:p>
    <w:p w14:paraId="7AD14501" w14:textId="7099729D" w:rsidR="00270FEB" w:rsidRDefault="00270FEB" w:rsidP="00270FEB">
      <w:pPr>
        <w:spacing w:after="0"/>
      </w:pPr>
      <w:r>
        <w:t>Output A + Output B → Integrated brain–body aging map → shared pathways and module overlap → Better Together: complementary perspectives on systemic and neural aging.</w:t>
      </w:r>
    </w:p>
    <w:p w14:paraId="49513BE9" w14:textId="77777777" w:rsidR="00270FEB" w:rsidRDefault="00270FEB" w:rsidP="00270FEB">
      <w:pPr>
        <w:spacing w:after="0"/>
      </w:pPr>
    </w:p>
    <w:p w14:paraId="69ACD371" w14:textId="77777777" w:rsidR="00DD6333" w:rsidRDefault="00DD6333" w:rsidP="00270FEB">
      <w:pPr>
        <w:spacing w:after="0"/>
      </w:pPr>
    </w:p>
    <w:p w14:paraId="4C743FEC" w14:textId="77777777" w:rsidR="00270FEB" w:rsidRPr="000E3941" w:rsidRDefault="00270FEB" w:rsidP="00270FEB">
      <w:pPr>
        <w:spacing w:after="0"/>
        <w:rPr>
          <w:b/>
          <w:bCs/>
          <w:sz w:val="28"/>
          <w:szCs w:val="28"/>
        </w:rPr>
      </w:pPr>
      <w:r w:rsidRPr="000E3941">
        <w:rPr>
          <w:b/>
          <w:bCs/>
          <w:sz w:val="28"/>
          <w:szCs w:val="28"/>
        </w:rPr>
        <w:t>2. Materials and Methods</w:t>
      </w:r>
    </w:p>
    <w:p w14:paraId="22C51841" w14:textId="77777777" w:rsidR="00270FEB" w:rsidRDefault="00270FEB" w:rsidP="00270FEB">
      <w:pPr>
        <w:spacing w:after="0"/>
      </w:pPr>
    </w:p>
    <w:p w14:paraId="7E402F14" w14:textId="77777777" w:rsidR="00270FEB" w:rsidRPr="000E3941" w:rsidRDefault="00270FEB" w:rsidP="00270FEB">
      <w:pPr>
        <w:spacing w:after="0"/>
        <w:rPr>
          <w:b/>
          <w:bCs/>
        </w:rPr>
      </w:pPr>
      <w:r w:rsidRPr="000E3941">
        <w:rPr>
          <w:b/>
          <w:bCs/>
        </w:rPr>
        <w:t xml:space="preserve">2.1 Data Sources and Accessibility </w:t>
      </w:r>
    </w:p>
    <w:p w14:paraId="675BD116" w14:textId="7B89DD65" w:rsidR="00270FEB" w:rsidRDefault="00270FEB" w:rsidP="00270FEB">
      <w:pPr>
        <w:spacing w:after="0"/>
      </w:pPr>
      <w:r>
        <w:t>All data for this study are drawn from the Genotype-Tissue Expression (GTEx) Project, version 10, an open-access human transcriptomic resource containing RNA-seq data from approximately 1,000 donors across 54 tissues.</w:t>
      </w:r>
      <w:r w:rsidR="000E3941">
        <w:t xml:space="preserve"> </w:t>
      </w:r>
      <w:r>
        <w:t>This project exclusively utilizes open-access GTEx data fields, ensuring reproducibility without dbGaP-controlled access.</w:t>
      </w:r>
    </w:p>
    <w:p w14:paraId="48711CA6" w14:textId="77777777" w:rsidR="00270FEB" w:rsidRDefault="00270FEB" w:rsidP="00270FEB">
      <w:pPr>
        <w:spacing w:after="0"/>
      </w:pPr>
    </w:p>
    <w:p w14:paraId="3664D61C" w14:textId="77777777" w:rsidR="00270FEB" w:rsidRDefault="00270FEB" w:rsidP="00270FEB">
      <w:pPr>
        <w:spacing w:after="0"/>
      </w:pPr>
      <w:r>
        <w:t>Three tissue types were selected to represent complementary biological systems along the brain-body axis:</w:t>
      </w:r>
    </w:p>
    <w:p w14:paraId="5576C6CA" w14:textId="77777777" w:rsidR="00270FEB" w:rsidRDefault="00270FEB" w:rsidP="00270FEB">
      <w:pPr>
        <w:spacing w:after="0"/>
      </w:pPr>
    </w:p>
    <w:p w14:paraId="48B50C53" w14:textId="4CAFB85E" w:rsidR="00270FEB" w:rsidRDefault="00270FEB" w:rsidP="00270FEB">
      <w:pPr>
        <w:spacing w:after="0"/>
      </w:pPr>
      <w:r>
        <w:t>•</w:t>
      </w:r>
      <w:r w:rsidR="000E3941">
        <w:t xml:space="preserve"> </w:t>
      </w:r>
      <w:r w:rsidRPr="000E3941">
        <w:rPr>
          <w:b/>
          <w:bCs/>
        </w:rPr>
        <w:t>Brain – Frontal Cortex (BA9):</w:t>
      </w:r>
      <w:r>
        <w:t xml:space="preserve"> a region central to executive function, metabolic regulation, and vulnerability to neurodegenerative processes.</w:t>
      </w:r>
    </w:p>
    <w:p w14:paraId="64A696EE" w14:textId="2D8CB7D7" w:rsidR="00270FEB" w:rsidRDefault="00270FEB" w:rsidP="00270FEB">
      <w:pPr>
        <w:spacing w:after="0"/>
      </w:pPr>
      <w:r w:rsidRPr="000E3941">
        <w:rPr>
          <w:b/>
          <w:bCs/>
        </w:rPr>
        <w:t>•</w:t>
      </w:r>
      <w:r w:rsidR="000E3941" w:rsidRPr="000E3941">
        <w:rPr>
          <w:b/>
          <w:bCs/>
        </w:rPr>
        <w:t xml:space="preserve"> </w:t>
      </w:r>
      <w:r w:rsidRPr="000E3941">
        <w:rPr>
          <w:b/>
          <w:bCs/>
        </w:rPr>
        <w:t>Heart – Left Ventricle:</w:t>
      </w:r>
      <w:r>
        <w:t xml:space="preserve"> a representative metabolic and vascular organ whose aging trajectories are tightly coupled to circulatory and energetic supply to the brain.</w:t>
      </w:r>
    </w:p>
    <w:p w14:paraId="65F90CF0" w14:textId="593182A8" w:rsidR="00270FEB" w:rsidRDefault="00270FEB" w:rsidP="00270FEB">
      <w:pPr>
        <w:spacing w:after="0"/>
      </w:pPr>
      <w:r w:rsidRPr="000E3941">
        <w:rPr>
          <w:b/>
          <w:bCs/>
        </w:rPr>
        <w:t>•</w:t>
      </w:r>
      <w:r w:rsidR="000E3941" w:rsidRPr="000E3941">
        <w:rPr>
          <w:b/>
          <w:bCs/>
        </w:rPr>
        <w:t xml:space="preserve"> </w:t>
      </w:r>
      <w:r w:rsidRPr="000E3941">
        <w:rPr>
          <w:b/>
          <w:bCs/>
        </w:rPr>
        <w:t>Whole Blood:</w:t>
      </w:r>
      <w:r>
        <w:t xml:space="preserve"> an immune and inflammatory tissue that reflects systemic signaling and peripheral immune activation influencing neural microglia and vascular tone.</w:t>
      </w:r>
    </w:p>
    <w:p w14:paraId="32DA025D" w14:textId="77777777" w:rsidR="000E3941" w:rsidRDefault="000E3941" w:rsidP="00270FEB">
      <w:pPr>
        <w:spacing w:after="0"/>
      </w:pPr>
    </w:p>
    <w:p w14:paraId="1E724348" w14:textId="3DC46817" w:rsidR="00270FEB" w:rsidRDefault="00270FEB" w:rsidP="00270FEB">
      <w:pPr>
        <w:spacing w:after="0"/>
      </w:pPr>
      <w:r>
        <w:t>The choice of these tissues allows investigation across three domains—neural, vascular/metabolic, and immune—that collectively frame the physiological landscape of aging and brain resilience.</w:t>
      </w:r>
    </w:p>
    <w:p w14:paraId="208BF0CF" w14:textId="77777777" w:rsidR="00270FEB" w:rsidRDefault="00270FEB" w:rsidP="00270FEB">
      <w:pPr>
        <w:spacing w:after="0"/>
      </w:pPr>
    </w:p>
    <w:p w14:paraId="60FDAEE8" w14:textId="77777777" w:rsidR="00DD6333" w:rsidRDefault="00DD6333" w:rsidP="00270FEB">
      <w:pPr>
        <w:spacing w:after="0"/>
      </w:pPr>
    </w:p>
    <w:p w14:paraId="54BC7E26" w14:textId="77777777" w:rsidR="00DD6333" w:rsidRDefault="00DD6333" w:rsidP="00270FEB">
      <w:pPr>
        <w:spacing w:after="0"/>
      </w:pPr>
    </w:p>
    <w:p w14:paraId="0F88DB2B" w14:textId="77777777" w:rsidR="00DD6333" w:rsidRDefault="00270FEB" w:rsidP="00270FEB">
      <w:pPr>
        <w:spacing w:after="0"/>
        <w:rPr>
          <w:b/>
          <w:bCs/>
        </w:rPr>
      </w:pPr>
      <w:r w:rsidRPr="000E3941">
        <w:rPr>
          <w:b/>
          <w:bCs/>
        </w:rPr>
        <w:lastRenderedPageBreak/>
        <w:t>2.2 Data Structure and Metadata</w:t>
      </w:r>
    </w:p>
    <w:p w14:paraId="65E3A0F5" w14:textId="7E795398" w:rsidR="00270FEB" w:rsidRPr="00DD6333" w:rsidRDefault="00270FEB" w:rsidP="00270FEB">
      <w:pPr>
        <w:spacing w:after="0"/>
        <w:rPr>
          <w:b/>
          <w:bCs/>
        </w:rPr>
      </w:pPr>
      <w:r>
        <w:t>Each GTEx RNA-seq sample is annotated with detailed phenotype (subject-level) and attribute (sample-level) metadata, including demographic, clinical, and technical parameters.</w:t>
      </w:r>
    </w:p>
    <w:p w14:paraId="68A2BF01" w14:textId="77777777" w:rsidR="00270FEB" w:rsidRDefault="00270FEB" w:rsidP="00270FEB">
      <w:pPr>
        <w:spacing w:after="0"/>
      </w:pPr>
    </w:p>
    <w:p w14:paraId="468667B3" w14:textId="77777777" w:rsidR="00270FEB" w:rsidRDefault="00270FEB" w:rsidP="00270FEB">
      <w:pPr>
        <w:spacing w:after="0"/>
      </w:pPr>
      <w:r>
        <w:t>All metadata fields used in this analysis are open-access, summarized below with their analytical purpose:</w:t>
      </w:r>
    </w:p>
    <w:p w14:paraId="2D450BCE" w14:textId="77777777" w:rsidR="00270FEB" w:rsidRDefault="00270FEB" w:rsidP="00270FEB">
      <w:pPr>
        <w:spacing w:after="0"/>
      </w:pPr>
    </w:p>
    <w:p w14:paraId="4CE2A624" w14:textId="33E18A71" w:rsidR="00270FEB" w:rsidRDefault="00270FEB" w:rsidP="00270FEB">
      <w:pPr>
        <w:spacing w:after="0"/>
      </w:pPr>
      <w:r w:rsidRPr="000E3941">
        <w:rPr>
          <w:b/>
          <w:bCs/>
        </w:rPr>
        <w:t>Phenotypes (Subject-level):</w:t>
      </w:r>
      <w:r>
        <w:t xml:space="preserve"> SUBJID (donor ID), AGE (age bin, 20–79 years), SEX (1=male, 2=female), DTHHRDY (Hardy death scale).</w:t>
      </w:r>
    </w:p>
    <w:p w14:paraId="2E0C97C8" w14:textId="14A54A24" w:rsidR="00270FEB" w:rsidRDefault="00270FEB" w:rsidP="00270FEB">
      <w:pPr>
        <w:spacing w:after="0"/>
      </w:pPr>
      <w:r w:rsidRPr="000E3941">
        <w:rPr>
          <w:b/>
          <w:bCs/>
        </w:rPr>
        <w:t>Attributes (Sample-level):</w:t>
      </w:r>
      <w:r>
        <w:t xml:space="preserve"> SMRIN (RNA integrity number), SMTSISCH (ischemic time), SMATSSCR (autolysis score), SMMAPRT (mapping rate), SMEXNCRT (exonic rate), and SMMPHQRT (high-quality read rate).</w:t>
      </w:r>
    </w:p>
    <w:p w14:paraId="3427B24B" w14:textId="1773BFCF" w:rsidR="00270FEB" w:rsidRDefault="00270FEB" w:rsidP="00270FEB">
      <w:pPr>
        <w:spacing w:after="0"/>
      </w:pPr>
      <w:r w:rsidRPr="000E3941">
        <w:rPr>
          <w:b/>
          <w:bCs/>
        </w:rPr>
        <w:t>Tissue identification:</w:t>
      </w:r>
      <w:r>
        <w:t xml:space="preserve"> SMTS (broad tissue) and SMTSD (specific sub-tissue descriptor, e.g., “Brain – Frontal Cortex (BA9)”).</w:t>
      </w:r>
    </w:p>
    <w:p w14:paraId="71EFAA87" w14:textId="55A15481" w:rsidR="00270FEB" w:rsidRDefault="00270FEB" w:rsidP="00270FEB">
      <w:pPr>
        <w:spacing w:after="0"/>
      </w:pPr>
      <w:r w:rsidRPr="000E3941">
        <w:rPr>
          <w:b/>
          <w:bCs/>
        </w:rPr>
        <w:t>Batch and site variables:</w:t>
      </w:r>
      <w:r>
        <w:t xml:space="preserve"> SMNABTCH, SMGEBTCH, and SMCENTER serve as optional covariates to control for batch or collection-site variation.</w:t>
      </w:r>
    </w:p>
    <w:p w14:paraId="126E0198" w14:textId="77777777" w:rsidR="00270FEB" w:rsidRDefault="00270FEB" w:rsidP="00270FEB">
      <w:pPr>
        <w:spacing w:after="0"/>
      </w:pPr>
    </w:p>
    <w:p w14:paraId="213FE423" w14:textId="77777777" w:rsidR="00270FEB" w:rsidRDefault="00270FEB" w:rsidP="00270FEB">
      <w:pPr>
        <w:spacing w:after="0"/>
      </w:pPr>
      <w:r>
        <w:t>All data fields are explicitly documented in GTEx’s public data dictionary and were verified for open-access status before analysis.</w:t>
      </w:r>
    </w:p>
    <w:p w14:paraId="2B1FC3DF" w14:textId="77777777" w:rsidR="00270FEB" w:rsidRDefault="00270FEB" w:rsidP="00270FEB">
      <w:pPr>
        <w:spacing w:after="0"/>
      </w:pPr>
    </w:p>
    <w:p w14:paraId="7CA9FB7A" w14:textId="77777777" w:rsidR="00270FEB" w:rsidRPr="000E3941" w:rsidRDefault="00270FEB" w:rsidP="00270FEB">
      <w:pPr>
        <w:spacing w:after="0"/>
        <w:rPr>
          <w:b/>
          <w:bCs/>
        </w:rPr>
      </w:pPr>
      <w:r w:rsidRPr="000E3941">
        <w:rPr>
          <w:b/>
          <w:bCs/>
        </w:rPr>
        <w:t>2.3 Data Acquisition and Preprocessing</w:t>
      </w:r>
    </w:p>
    <w:p w14:paraId="472E7F01" w14:textId="3E250308" w:rsidR="00270FEB" w:rsidRDefault="00270FEB" w:rsidP="00270FEB">
      <w:pPr>
        <w:spacing w:after="0"/>
      </w:pPr>
      <w:r>
        <w:t xml:space="preserve">Expression data for each selected tissue will be downloaded as raw read count matrices, consistent with the RNA-seq analysis pipeline taught in </w:t>
      </w:r>
      <w:r w:rsidRPr="000E3941">
        <w:rPr>
          <w:highlight w:val="yellow"/>
        </w:rPr>
        <w:t>Week 10–11 lectures.</w:t>
      </w:r>
      <w:r w:rsidR="000E3941">
        <w:t xml:space="preserve"> </w:t>
      </w:r>
      <w:r>
        <w:t>Raw counts, rather than TPM-normalized values, are used because DESeq2 performs its own normalization through the median-of-ratios method, ensuring unbiased estimation of dispersion and fold change.</w:t>
      </w:r>
    </w:p>
    <w:p w14:paraId="5DCB260C" w14:textId="77777777" w:rsidR="00270FEB" w:rsidRDefault="00270FEB" w:rsidP="00270FEB">
      <w:pPr>
        <w:spacing w:after="0"/>
      </w:pPr>
    </w:p>
    <w:p w14:paraId="557F8EA6" w14:textId="77777777" w:rsidR="00270FEB" w:rsidRDefault="00270FEB" w:rsidP="00270FEB">
      <w:pPr>
        <w:spacing w:after="0"/>
      </w:pPr>
      <w:r>
        <w:t>Preprocessing follows the canonical RNA-seq workflow:</w:t>
      </w:r>
    </w:p>
    <w:p w14:paraId="2A722059" w14:textId="77777777" w:rsidR="000E3941" w:rsidRDefault="000E3941" w:rsidP="00270FEB">
      <w:pPr>
        <w:spacing w:after="0"/>
      </w:pPr>
    </w:p>
    <w:p w14:paraId="19904C8D" w14:textId="5DF68337" w:rsidR="00270FEB" w:rsidRDefault="00270FEB" w:rsidP="00270FEB">
      <w:pPr>
        <w:spacing w:after="0"/>
      </w:pPr>
      <w:r>
        <w:t>1.</w:t>
      </w:r>
      <w:r w:rsidR="000E3941">
        <w:t xml:space="preserve"> </w:t>
      </w:r>
      <w:r>
        <w:t>Quality control of raw reads using FastQC, evaluating Phred quality scores, GC content, and adapter contamination.</w:t>
      </w:r>
    </w:p>
    <w:p w14:paraId="4FD57352" w14:textId="18A85BC1" w:rsidR="00270FEB" w:rsidRDefault="00270FEB" w:rsidP="00270FEB">
      <w:pPr>
        <w:spacing w:after="0"/>
      </w:pPr>
      <w:r>
        <w:t>2.</w:t>
      </w:r>
      <w:r w:rsidR="000E3941">
        <w:t xml:space="preserve"> </w:t>
      </w:r>
      <w:r>
        <w:t>Adapter trimming with Trimmomatic, removing low-quality bases and residual sequencing adapters.</w:t>
      </w:r>
    </w:p>
    <w:p w14:paraId="4AB5F02C" w14:textId="32B66E7A" w:rsidR="00270FEB" w:rsidRDefault="00270FEB" w:rsidP="00270FEB">
      <w:pPr>
        <w:spacing w:after="0"/>
      </w:pPr>
      <w:r>
        <w:t>3.</w:t>
      </w:r>
      <w:r w:rsidR="000E3941">
        <w:t xml:space="preserve"> </w:t>
      </w:r>
      <w:r>
        <w:t>Spliced alignment to the human reference genome (GRCh38) using HISAT2, producing sorted BAM alignment files.</w:t>
      </w:r>
    </w:p>
    <w:p w14:paraId="40CBAA97" w14:textId="26793339" w:rsidR="00270FEB" w:rsidRDefault="00270FEB" w:rsidP="00270FEB">
      <w:pPr>
        <w:spacing w:after="0"/>
      </w:pPr>
      <w:r>
        <w:t>4.</w:t>
      </w:r>
      <w:r w:rsidR="000E3941">
        <w:t xml:space="preserve"> </w:t>
      </w:r>
      <w:r>
        <w:t>Gene-level read quantification with featureCounts, summarizing aligned reads into integer counts per gene using Ensembl annotations (GTF v110).</w:t>
      </w:r>
    </w:p>
    <w:p w14:paraId="605C3E31" w14:textId="5ABA751A" w:rsidR="00270FEB" w:rsidRDefault="00270FEB" w:rsidP="00270FEB">
      <w:pPr>
        <w:spacing w:after="0"/>
      </w:pPr>
      <w:r>
        <w:lastRenderedPageBreak/>
        <w:t>5.</w:t>
      </w:r>
      <w:r w:rsidR="000E3941">
        <w:t xml:space="preserve"> </w:t>
      </w:r>
      <w:r>
        <w:t>Construction of count matrices combining all donor–tissue pairs for downstream analysis.</w:t>
      </w:r>
    </w:p>
    <w:p w14:paraId="4DCAC7C0" w14:textId="77777777" w:rsidR="00270FEB" w:rsidRDefault="00270FEB" w:rsidP="00270FEB">
      <w:pPr>
        <w:spacing w:after="0"/>
      </w:pPr>
    </w:p>
    <w:p w14:paraId="775DE471" w14:textId="77777777" w:rsidR="00270FEB" w:rsidRDefault="00270FEB" w:rsidP="00270FEB">
      <w:pPr>
        <w:spacing w:after="0"/>
      </w:pPr>
      <w:r>
        <w:t>The preprocessing steps (1–4) are standardized GTEx-compatible procedures and can be executed on local compute or HPC environments.</w:t>
      </w:r>
    </w:p>
    <w:p w14:paraId="6811BF21" w14:textId="77777777" w:rsidR="00270FEB" w:rsidRDefault="00270FEB" w:rsidP="00270FEB">
      <w:pPr>
        <w:spacing w:after="0"/>
      </w:pPr>
    </w:p>
    <w:p w14:paraId="017191FE" w14:textId="730CC6DD" w:rsidR="000E3941" w:rsidRPr="000E3941" w:rsidRDefault="00270FEB" w:rsidP="00270FEB">
      <w:pPr>
        <w:spacing w:after="0"/>
      </w:pPr>
      <w:r w:rsidRPr="001A7EF9">
        <w:t>A simplified execution snippet is shown below for clarity:</w:t>
      </w:r>
    </w:p>
    <w:p w14:paraId="6A4C17EC" w14:textId="77777777" w:rsidR="00270FEB" w:rsidRPr="000E3941" w:rsidRDefault="00270FEB" w:rsidP="00270FEB">
      <w:pPr>
        <w:spacing w:after="0"/>
        <w:rPr>
          <w:color w:val="EE0000"/>
        </w:rPr>
      </w:pPr>
      <w:r w:rsidRPr="000E3941">
        <w:rPr>
          <w:color w:val="EE0000"/>
        </w:rPr>
        <w:t># Example preprocessing for one sample</w:t>
      </w:r>
    </w:p>
    <w:p w14:paraId="043E98B9" w14:textId="77777777" w:rsidR="00270FEB" w:rsidRPr="000E3941" w:rsidRDefault="00270FEB" w:rsidP="00270FEB">
      <w:pPr>
        <w:spacing w:after="0"/>
        <w:rPr>
          <w:color w:val="EE0000"/>
        </w:rPr>
      </w:pPr>
      <w:proofErr w:type="spellStart"/>
      <w:r w:rsidRPr="000E3941">
        <w:rPr>
          <w:color w:val="EE0000"/>
        </w:rPr>
        <w:t>fastqc</w:t>
      </w:r>
      <w:proofErr w:type="spellEnd"/>
      <w:r w:rsidRPr="000E3941">
        <w:rPr>
          <w:color w:val="EE0000"/>
        </w:rPr>
        <w:t xml:space="preserve"> sample_R1.fastq.gz</w:t>
      </w:r>
    </w:p>
    <w:p w14:paraId="70759878" w14:textId="77777777" w:rsidR="00270FEB" w:rsidRPr="000E3941" w:rsidRDefault="00270FEB" w:rsidP="00270FEB">
      <w:pPr>
        <w:spacing w:after="0"/>
        <w:rPr>
          <w:color w:val="EE0000"/>
        </w:rPr>
      </w:pPr>
      <w:proofErr w:type="spellStart"/>
      <w:r w:rsidRPr="000E3941">
        <w:rPr>
          <w:color w:val="EE0000"/>
        </w:rPr>
        <w:t>trimmomatic</w:t>
      </w:r>
      <w:proofErr w:type="spellEnd"/>
      <w:r w:rsidRPr="000E3941">
        <w:rPr>
          <w:color w:val="EE0000"/>
        </w:rPr>
        <w:t xml:space="preserve"> PE sample_R1.fastq.gz sample_R2.fastq.gz \</w:t>
      </w:r>
    </w:p>
    <w:p w14:paraId="6A671453" w14:textId="77777777" w:rsidR="00270FEB" w:rsidRPr="000E3941" w:rsidRDefault="00270FEB" w:rsidP="00270FEB">
      <w:pPr>
        <w:spacing w:after="0"/>
        <w:rPr>
          <w:color w:val="EE0000"/>
        </w:rPr>
      </w:pPr>
      <w:r w:rsidRPr="000E3941">
        <w:rPr>
          <w:color w:val="EE0000"/>
        </w:rPr>
        <w:t xml:space="preserve">  sample_R1_trimmed.fastq.gz sample_R1_unpaired.fastq.gz \</w:t>
      </w:r>
    </w:p>
    <w:p w14:paraId="0F83A12D" w14:textId="77777777" w:rsidR="00270FEB" w:rsidRPr="000E3941" w:rsidRDefault="00270FEB" w:rsidP="00270FEB">
      <w:pPr>
        <w:spacing w:after="0"/>
        <w:rPr>
          <w:color w:val="EE0000"/>
        </w:rPr>
      </w:pPr>
      <w:r w:rsidRPr="000E3941">
        <w:rPr>
          <w:color w:val="EE0000"/>
        </w:rPr>
        <w:t xml:space="preserve">  sample_R2_trimmed.fastq.gz sample_R2_unpaired.fastq.gz \</w:t>
      </w:r>
    </w:p>
    <w:p w14:paraId="47CAF9D6" w14:textId="77777777" w:rsidR="00270FEB" w:rsidRPr="000E3941" w:rsidRDefault="00270FEB" w:rsidP="00270FEB">
      <w:pPr>
        <w:spacing w:after="0"/>
        <w:rPr>
          <w:color w:val="EE0000"/>
        </w:rPr>
      </w:pPr>
      <w:r w:rsidRPr="000E3941">
        <w:rPr>
          <w:color w:val="EE0000"/>
        </w:rPr>
        <w:t xml:space="preserve">  ILLUMINACLIP:adapters.fa:2:30:7 MINLEN:36</w:t>
      </w:r>
    </w:p>
    <w:p w14:paraId="50DF7350" w14:textId="77777777" w:rsidR="00270FEB" w:rsidRPr="000E3941" w:rsidRDefault="00270FEB" w:rsidP="00270FEB">
      <w:pPr>
        <w:spacing w:after="0"/>
        <w:rPr>
          <w:color w:val="EE0000"/>
        </w:rPr>
      </w:pPr>
    </w:p>
    <w:p w14:paraId="2757A579" w14:textId="77777777" w:rsidR="00270FEB" w:rsidRPr="000E3941" w:rsidRDefault="00270FEB" w:rsidP="00270FEB">
      <w:pPr>
        <w:spacing w:after="0"/>
        <w:rPr>
          <w:color w:val="EE0000"/>
        </w:rPr>
      </w:pPr>
      <w:r w:rsidRPr="000E3941">
        <w:rPr>
          <w:color w:val="EE0000"/>
        </w:rPr>
        <w:t>hisat2 -x GRCh38_index -1 sample_R1_trimmed.fastq.gz -2 sample_R2_trimmed.fastq.gz \</w:t>
      </w:r>
    </w:p>
    <w:p w14:paraId="6873CB87" w14:textId="77777777" w:rsidR="00270FEB" w:rsidRPr="000E3941" w:rsidRDefault="00270FEB" w:rsidP="00270FEB">
      <w:pPr>
        <w:spacing w:after="0"/>
        <w:rPr>
          <w:color w:val="EE0000"/>
        </w:rPr>
      </w:pPr>
      <w:r w:rsidRPr="000E3941">
        <w:rPr>
          <w:color w:val="EE0000"/>
        </w:rPr>
        <w:t xml:space="preserve">  -S </w:t>
      </w:r>
      <w:proofErr w:type="spellStart"/>
      <w:r w:rsidRPr="000E3941">
        <w:rPr>
          <w:color w:val="EE0000"/>
        </w:rPr>
        <w:t>sample_aligned.sam</w:t>
      </w:r>
      <w:proofErr w:type="spellEnd"/>
    </w:p>
    <w:p w14:paraId="3D53D934" w14:textId="77777777" w:rsidR="00270FEB" w:rsidRPr="000E3941" w:rsidRDefault="00270FEB" w:rsidP="00270FEB">
      <w:pPr>
        <w:spacing w:after="0"/>
        <w:rPr>
          <w:color w:val="EE0000"/>
        </w:rPr>
      </w:pPr>
      <w:proofErr w:type="spellStart"/>
      <w:r w:rsidRPr="000E3941">
        <w:rPr>
          <w:color w:val="EE0000"/>
        </w:rPr>
        <w:t>samtools</w:t>
      </w:r>
      <w:proofErr w:type="spellEnd"/>
      <w:r w:rsidRPr="000E3941">
        <w:rPr>
          <w:color w:val="EE0000"/>
        </w:rPr>
        <w:t xml:space="preserve"> sort -o </w:t>
      </w:r>
      <w:proofErr w:type="spellStart"/>
      <w:r w:rsidRPr="000E3941">
        <w:rPr>
          <w:color w:val="EE0000"/>
        </w:rPr>
        <w:t>sample_aligned.bam</w:t>
      </w:r>
      <w:proofErr w:type="spellEnd"/>
      <w:r w:rsidRPr="000E3941">
        <w:rPr>
          <w:color w:val="EE0000"/>
        </w:rPr>
        <w:t xml:space="preserve"> </w:t>
      </w:r>
      <w:proofErr w:type="spellStart"/>
      <w:r w:rsidRPr="000E3941">
        <w:rPr>
          <w:color w:val="EE0000"/>
        </w:rPr>
        <w:t>sample_aligned.sam</w:t>
      </w:r>
      <w:proofErr w:type="spellEnd"/>
    </w:p>
    <w:p w14:paraId="54C06D97" w14:textId="77777777" w:rsidR="00270FEB" w:rsidRPr="000E3941" w:rsidRDefault="00270FEB" w:rsidP="00270FEB">
      <w:pPr>
        <w:spacing w:after="0"/>
        <w:rPr>
          <w:color w:val="EE0000"/>
        </w:rPr>
      </w:pPr>
    </w:p>
    <w:p w14:paraId="7539218E" w14:textId="77777777" w:rsidR="00270FEB" w:rsidRPr="000E3941" w:rsidRDefault="00270FEB" w:rsidP="00270FEB">
      <w:pPr>
        <w:spacing w:after="0"/>
        <w:rPr>
          <w:color w:val="EE0000"/>
        </w:rPr>
      </w:pPr>
      <w:r w:rsidRPr="000E3941">
        <w:rPr>
          <w:color w:val="EE0000"/>
        </w:rPr>
        <w:t xml:space="preserve">featureCounts -a Homo_sapiens.GRCh38.110.gtf -o counts.txt </w:t>
      </w:r>
      <w:proofErr w:type="spellStart"/>
      <w:r w:rsidRPr="000E3941">
        <w:rPr>
          <w:color w:val="EE0000"/>
        </w:rPr>
        <w:t>sample_aligned.bam</w:t>
      </w:r>
      <w:proofErr w:type="spellEnd"/>
    </w:p>
    <w:p w14:paraId="2BC92D6A" w14:textId="77777777" w:rsidR="00270FEB" w:rsidRDefault="00270FEB" w:rsidP="00270FEB">
      <w:pPr>
        <w:spacing w:after="0"/>
      </w:pPr>
    </w:p>
    <w:p w14:paraId="5FDFF37A" w14:textId="77777777" w:rsidR="00270FEB" w:rsidRPr="000E3941" w:rsidRDefault="00270FEB" w:rsidP="00270FEB">
      <w:pPr>
        <w:spacing w:after="0"/>
        <w:rPr>
          <w:b/>
          <w:bCs/>
        </w:rPr>
      </w:pPr>
      <w:r w:rsidRPr="000E3941">
        <w:rPr>
          <w:b/>
          <w:bCs/>
        </w:rPr>
        <w:t>2.4 Inclusion and Quality Control Criteria</w:t>
      </w:r>
    </w:p>
    <w:p w14:paraId="2D8C8376" w14:textId="77777777" w:rsidR="00270FEB" w:rsidRDefault="00270FEB" w:rsidP="00270FEB">
      <w:pPr>
        <w:spacing w:after="0"/>
      </w:pPr>
      <w:r>
        <w:t>Rigorous filtering ensures that observed age-related effects reflect biological aging rather than post-mortem or technical artifacts.</w:t>
      </w:r>
    </w:p>
    <w:p w14:paraId="029C0E2D" w14:textId="77777777" w:rsidR="00270FEB" w:rsidRDefault="00270FEB" w:rsidP="00270FEB">
      <w:pPr>
        <w:spacing w:after="0"/>
      </w:pPr>
    </w:p>
    <w:p w14:paraId="0A804894" w14:textId="7EECA327" w:rsidR="00270FEB" w:rsidRDefault="00270FEB" w:rsidP="00270FEB">
      <w:pPr>
        <w:spacing w:after="0"/>
      </w:pPr>
      <w:r>
        <w:t>Only samples meeting the following criteria are included:</w:t>
      </w:r>
    </w:p>
    <w:p w14:paraId="3429B83A" w14:textId="77777777" w:rsidR="000E3941" w:rsidRDefault="000E3941" w:rsidP="00270FEB">
      <w:pPr>
        <w:spacing w:after="0"/>
      </w:pPr>
    </w:p>
    <w:p w14:paraId="766D09B0" w14:textId="4E0F3986" w:rsidR="00270FEB" w:rsidRDefault="00270FEB" w:rsidP="00270FEB">
      <w:pPr>
        <w:spacing w:after="0"/>
      </w:pPr>
      <w:r>
        <w:t>1.</w:t>
      </w:r>
      <w:r w:rsidR="000E3941">
        <w:t xml:space="preserve"> </w:t>
      </w:r>
      <w:r w:rsidRPr="000E3941">
        <w:rPr>
          <w:b/>
          <w:bCs/>
        </w:rPr>
        <w:t>Rapid death (Hardy Scale 1–2)</w:t>
      </w:r>
      <w:r w:rsidR="000E3941" w:rsidRPr="000E3941">
        <w:rPr>
          <w:b/>
          <w:bCs/>
        </w:rPr>
        <w:t>:</w:t>
      </w:r>
      <w:r w:rsidR="000E3941">
        <w:t xml:space="preserve"> </w:t>
      </w:r>
      <w:r>
        <w:t>representing sudden death with terminal phase &lt;1 hour.</w:t>
      </w:r>
    </w:p>
    <w:p w14:paraId="5019A06B" w14:textId="023858C5" w:rsidR="00270FEB" w:rsidRDefault="00270FEB" w:rsidP="00270FEB">
      <w:pPr>
        <w:spacing w:after="0"/>
      </w:pPr>
      <w:r>
        <w:t>2.</w:t>
      </w:r>
      <w:r w:rsidR="000E3941">
        <w:t xml:space="preserve"> </w:t>
      </w:r>
      <w:r w:rsidRPr="000E3941">
        <w:rPr>
          <w:b/>
          <w:bCs/>
        </w:rPr>
        <w:t>High RNA integrity (SMRIN &gt; 5.7)</w:t>
      </w:r>
      <w:r w:rsidR="000E3941" w:rsidRPr="000E3941">
        <w:rPr>
          <w:b/>
          <w:bCs/>
        </w:rPr>
        <w:t>:</w:t>
      </w:r>
      <w:r w:rsidR="000E3941">
        <w:t xml:space="preserve"> </w:t>
      </w:r>
      <w:r>
        <w:t>to minimize degradation.</w:t>
      </w:r>
    </w:p>
    <w:p w14:paraId="022C0FE7" w14:textId="5044233C" w:rsidR="00270FEB" w:rsidRDefault="00270FEB" w:rsidP="00270FEB">
      <w:pPr>
        <w:spacing w:after="0"/>
      </w:pPr>
      <w:r>
        <w:t>3.</w:t>
      </w:r>
      <w:r w:rsidR="000E3941">
        <w:t xml:space="preserve"> </w:t>
      </w:r>
      <w:r w:rsidRPr="000E3941">
        <w:rPr>
          <w:b/>
          <w:bCs/>
        </w:rPr>
        <w:t>Short ischemic time (SMTSISCH &lt; 900 min)</w:t>
      </w:r>
      <w:r w:rsidR="000E3941" w:rsidRPr="000E3941">
        <w:rPr>
          <w:b/>
          <w:bCs/>
        </w:rPr>
        <w:t>:</w:t>
      </w:r>
      <w:r w:rsidR="000E3941">
        <w:t xml:space="preserve"> </w:t>
      </w:r>
      <w:r>
        <w:t>reducing post-mortem RNA decay.</w:t>
      </w:r>
    </w:p>
    <w:p w14:paraId="6F6ABB06" w14:textId="2B81154C" w:rsidR="00270FEB" w:rsidRDefault="00270FEB" w:rsidP="00270FEB">
      <w:pPr>
        <w:spacing w:after="0"/>
      </w:pPr>
      <w:r>
        <w:t>4.</w:t>
      </w:r>
      <w:r w:rsidR="000E3941">
        <w:t xml:space="preserve"> </w:t>
      </w:r>
      <w:r w:rsidRPr="000E3941">
        <w:rPr>
          <w:b/>
          <w:bCs/>
        </w:rPr>
        <w:t>Low autolysis score (SMATSSCR ≤ 2)</w:t>
      </w:r>
      <w:r w:rsidR="000E3941" w:rsidRPr="000E3941">
        <w:rPr>
          <w:b/>
          <w:bCs/>
        </w:rPr>
        <w:t>:</w:t>
      </w:r>
      <w:r w:rsidR="000E3941">
        <w:t xml:space="preserve"> </w:t>
      </w:r>
      <w:r>
        <w:t>ensuring tissue preservation.</w:t>
      </w:r>
    </w:p>
    <w:p w14:paraId="6C95D887" w14:textId="2203980B" w:rsidR="00270FEB" w:rsidRDefault="00270FEB" w:rsidP="00270FEB">
      <w:pPr>
        <w:spacing w:after="0"/>
      </w:pPr>
      <w:r>
        <w:t>5.</w:t>
      </w:r>
      <w:r w:rsidR="000E3941">
        <w:t xml:space="preserve"> </w:t>
      </w:r>
      <w:r w:rsidRPr="000E3941">
        <w:rPr>
          <w:b/>
          <w:bCs/>
        </w:rPr>
        <w:t>High sequencing quality</w:t>
      </w:r>
      <w:r>
        <w:t xml:space="preserve"> (SMMAPRT ≥ 0.8, SMEXNCRT ≥ 0.6, SMMPHQRT ≥ 0.7)</w:t>
      </w:r>
      <w:r w:rsidR="000E3941">
        <w:t xml:space="preserve">: </w:t>
      </w:r>
      <w:r>
        <w:t>ensuring reliable read mapping.</w:t>
      </w:r>
    </w:p>
    <w:p w14:paraId="4BA0B3D8" w14:textId="3B5854A3" w:rsidR="00270FEB" w:rsidRDefault="00270FEB" w:rsidP="00270FEB">
      <w:pPr>
        <w:spacing w:after="0"/>
      </w:pPr>
      <w:r>
        <w:t>6.</w:t>
      </w:r>
      <w:r w:rsidR="000E3941">
        <w:t xml:space="preserve"> </w:t>
      </w:r>
      <w:r w:rsidRPr="000E3941">
        <w:rPr>
          <w:b/>
          <w:bCs/>
        </w:rPr>
        <w:t>Analyte type</w:t>
      </w:r>
      <w:r>
        <w:t xml:space="preserve"> = “RNA: Total RNA” and Freeze type = “RNASEQ”.</w:t>
      </w:r>
    </w:p>
    <w:p w14:paraId="6F204899" w14:textId="77777777" w:rsidR="00270FEB" w:rsidRDefault="00270FEB" w:rsidP="00270FEB">
      <w:pPr>
        <w:spacing w:after="0"/>
      </w:pPr>
    </w:p>
    <w:p w14:paraId="15EFDF7F" w14:textId="48DAC518" w:rsidR="00270FEB" w:rsidRDefault="00270FEB" w:rsidP="00270FEB">
      <w:pPr>
        <w:spacing w:after="0"/>
      </w:pPr>
      <w:r>
        <w:t>These filters were chosen based on prior GTEx aging studies and are implemented programmatically in Python before analysis:</w:t>
      </w:r>
    </w:p>
    <w:p w14:paraId="2E5DC907" w14:textId="77777777" w:rsidR="00270FEB" w:rsidRPr="000E3941" w:rsidRDefault="00270FEB" w:rsidP="00270FEB">
      <w:pPr>
        <w:spacing w:after="0"/>
        <w:rPr>
          <w:color w:val="EE0000"/>
        </w:rPr>
      </w:pPr>
      <w:r w:rsidRPr="000E3941">
        <w:rPr>
          <w:color w:val="EE0000"/>
        </w:rPr>
        <w:t>import pandas as pd</w:t>
      </w:r>
    </w:p>
    <w:p w14:paraId="5EF5ECBB" w14:textId="77777777" w:rsidR="00270FEB" w:rsidRPr="000E3941" w:rsidRDefault="00270FEB" w:rsidP="00270FEB">
      <w:pPr>
        <w:spacing w:after="0"/>
        <w:rPr>
          <w:color w:val="EE0000"/>
        </w:rPr>
      </w:pPr>
      <w:r w:rsidRPr="000E3941">
        <w:rPr>
          <w:color w:val="EE0000"/>
        </w:rPr>
        <w:t xml:space="preserve">meta = </w:t>
      </w:r>
      <w:proofErr w:type="spellStart"/>
      <w:r w:rsidRPr="000E3941">
        <w:rPr>
          <w:color w:val="EE0000"/>
        </w:rPr>
        <w:t>pd.read_csv</w:t>
      </w:r>
      <w:proofErr w:type="spellEnd"/>
      <w:r w:rsidRPr="000E3941">
        <w:rPr>
          <w:color w:val="EE0000"/>
        </w:rPr>
        <w:t xml:space="preserve">("GTEx_metadata.csv", </w:t>
      </w:r>
      <w:proofErr w:type="spellStart"/>
      <w:r w:rsidRPr="000E3941">
        <w:rPr>
          <w:color w:val="EE0000"/>
        </w:rPr>
        <w:t>sep</w:t>
      </w:r>
      <w:proofErr w:type="spellEnd"/>
      <w:r w:rsidRPr="000E3941">
        <w:rPr>
          <w:color w:val="EE0000"/>
        </w:rPr>
        <w:t>='\t')</w:t>
      </w:r>
    </w:p>
    <w:p w14:paraId="1B879DF3" w14:textId="77777777" w:rsidR="00270FEB" w:rsidRPr="000E3941" w:rsidRDefault="00270FEB" w:rsidP="00270FEB">
      <w:pPr>
        <w:spacing w:after="0"/>
        <w:rPr>
          <w:color w:val="EE0000"/>
        </w:rPr>
      </w:pPr>
      <w:r w:rsidRPr="000E3941">
        <w:rPr>
          <w:color w:val="EE0000"/>
        </w:rPr>
        <w:lastRenderedPageBreak/>
        <w:t xml:space="preserve">meta = </w:t>
      </w:r>
      <w:proofErr w:type="spellStart"/>
      <w:r w:rsidRPr="000E3941">
        <w:rPr>
          <w:color w:val="EE0000"/>
        </w:rPr>
        <w:t>meta.query</w:t>
      </w:r>
      <w:proofErr w:type="spellEnd"/>
      <w:r w:rsidRPr="000E3941">
        <w:rPr>
          <w:color w:val="EE0000"/>
        </w:rPr>
        <w:t>("DTHHRDY in [1,2] and SMRIN &gt; 5.7 and SMTSISCH &lt; 900")</w:t>
      </w:r>
    </w:p>
    <w:p w14:paraId="3CC328DA" w14:textId="77777777" w:rsidR="00270FEB" w:rsidRPr="000E3941" w:rsidRDefault="00270FEB" w:rsidP="00270FEB">
      <w:pPr>
        <w:spacing w:after="0"/>
        <w:rPr>
          <w:color w:val="EE0000"/>
        </w:rPr>
      </w:pPr>
      <w:r w:rsidRPr="000E3941">
        <w:rPr>
          <w:color w:val="EE0000"/>
        </w:rPr>
        <w:t xml:space="preserve">meta = </w:t>
      </w:r>
      <w:proofErr w:type="spellStart"/>
      <w:r w:rsidRPr="000E3941">
        <w:rPr>
          <w:color w:val="EE0000"/>
        </w:rPr>
        <w:t>meta.query</w:t>
      </w:r>
      <w:proofErr w:type="spellEnd"/>
      <w:r w:rsidRPr="000E3941">
        <w:rPr>
          <w:color w:val="EE0000"/>
        </w:rPr>
        <w:t>("SMATSSCR &lt;= 2 and SMMAPRT &gt;= 0.8 and SMEXNCRT &gt;= 0.6 and SMMPHQRT &gt;= 0.7")</w:t>
      </w:r>
    </w:p>
    <w:p w14:paraId="2603082A" w14:textId="77777777" w:rsidR="00270FEB" w:rsidRDefault="00270FEB" w:rsidP="00270FEB">
      <w:pPr>
        <w:spacing w:after="0"/>
      </w:pPr>
    </w:p>
    <w:p w14:paraId="5D5D0C59" w14:textId="77777777" w:rsidR="00270FEB" w:rsidRDefault="00270FEB" w:rsidP="00270FEB">
      <w:pPr>
        <w:spacing w:after="0"/>
      </w:pPr>
      <w:r>
        <w:t>Filtered sample metadata are cross-matched by SUBJID to ensure that paired tissues (brain, heart, blood) originate from the same donor whenever possible, enabling within-individual cross-tissue comparisons.</w:t>
      </w:r>
    </w:p>
    <w:p w14:paraId="55AF8B0C" w14:textId="77777777" w:rsidR="00270FEB" w:rsidRDefault="00270FEB" w:rsidP="00270FEB">
      <w:pPr>
        <w:spacing w:after="0"/>
      </w:pPr>
    </w:p>
    <w:p w14:paraId="4A762799" w14:textId="77777777" w:rsidR="00270FEB" w:rsidRPr="000E3941" w:rsidRDefault="00270FEB" w:rsidP="00270FEB">
      <w:pPr>
        <w:spacing w:after="0"/>
        <w:rPr>
          <w:b/>
          <w:bCs/>
        </w:rPr>
      </w:pPr>
      <w:r w:rsidRPr="000E3941">
        <w:rPr>
          <w:b/>
          <w:bCs/>
        </w:rPr>
        <w:t>2.5 Pipeline A: Differential Expression and Cross-Tissue Correlation</w:t>
      </w:r>
    </w:p>
    <w:p w14:paraId="31D9E310" w14:textId="77777777" w:rsidR="00270FEB" w:rsidRDefault="00270FEB" w:rsidP="00270FEB">
      <w:pPr>
        <w:spacing w:after="0"/>
      </w:pPr>
    </w:p>
    <w:p w14:paraId="0EE8A56C" w14:textId="77777777" w:rsidR="00270FEB" w:rsidRPr="000E3941" w:rsidRDefault="00270FEB" w:rsidP="00270FEB">
      <w:pPr>
        <w:spacing w:after="0"/>
        <w:rPr>
          <w:b/>
          <w:bCs/>
        </w:rPr>
      </w:pPr>
      <w:r w:rsidRPr="000E3941">
        <w:rPr>
          <w:b/>
          <w:bCs/>
        </w:rPr>
        <w:t>Scientific Aim:</w:t>
      </w:r>
    </w:p>
    <w:p w14:paraId="0E1ED417" w14:textId="77777777" w:rsidR="00270FEB" w:rsidRDefault="00270FEB" w:rsidP="00270FEB">
      <w:pPr>
        <w:spacing w:after="0"/>
      </w:pPr>
      <w:r>
        <w:t>Quantify the directional and magnitude changes in gene expression with age within each tissue and evaluate how strongly these age effects correlate between brain and peripheral tissues.</w:t>
      </w:r>
    </w:p>
    <w:p w14:paraId="4FBB1E24" w14:textId="77777777" w:rsidR="00270FEB" w:rsidRDefault="00270FEB" w:rsidP="00270FEB">
      <w:pPr>
        <w:spacing w:after="0"/>
      </w:pPr>
    </w:p>
    <w:p w14:paraId="58803639" w14:textId="77777777" w:rsidR="00270FEB" w:rsidRPr="000E3941" w:rsidRDefault="00270FEB" w:rsidP="00270FEB">
      <w:pPr>
        <w:spacing w:after="0"/>
        <w:rPr>
          <w:b/>
          <w:bCs/>
        </w:rPr>
      </w:pPr>
      <w:r w:rsidRPr="000E3941">
        <w:rPr>
          <w:b/>
          <w:bCs/>
        </w:rPr>
        <w:t>Methodological Framework:</w:t>
      </w:r>
    </w:p>
    <w:p w14:paraId="10D0728F" w14:textId="77777777" w:rsidR="00BB3EC2" w:rsidRDefault="00270FEB" w:rsidP="00270FEB">
      <w:pPr>
        <w:spacing w:after="0"/>
      </w:pPr>
      <w:r>
        <w:t xml:space="preserve">DESeq2 models read counts using the Negative Binomial distribution and estimates dispersion parameters to account for biological variability. </w:t>
      </w:r>
    </w:p>
    <w:p w14:paraId="2E565999" w14:textId="77777777" w:rsidR="00BB3EC2" w:rsidRDefault="00BB3EC2" w:rsidP="00270FEB">
      <w:pPr>
        <w:spacing w:after="0"/>
      </w:pPr>
    </w:p>
    <w:p w14:paraId="11919522" w14:textId="41B807BE" w:rsidR="00270FEB" w:rsidRDefault="00270FEB" w:rsidP="00270FEB">
      <w:pPr>
        <w:spacing w:after="0"/>
      </w:pPr>
      <w:r>
        <w:t>The model design follows:</w:t>
      </w:r>
    </w:p>
    <w:p w14:paraId="1912EB08" w14:textId="77777777" w:rsidR="00270FEB" w:rsidRPr="000E3941" w:rsidRDefault="00270FEB" w:rsidP="00270FEB">
      <w:pPr>
        <w:spacing w:after="0"/>
        <w:rPr>
          <w:color w:val="EE0000"/>
        </w:rPr>
      </w:pPr>
      <w:r w:rsidRPr="000E3941">
        <w:rPr>
          <w:color w:val="EE0000"/>
        </w:rPr>
        <w:t xml:space="preserve">dds &lt;- </w:t>
      </w:r>
      <w:proofErr w:type="spellStart"/>
      <w:r w:rsidRPr="000E3941">
        <w:rPr>
          <w:color w:val="EE0000"/>
        </w:rPr>
        <w:t>DESeqDataSetFromMatrix</w:t>
      </w:r>
      <w:proofErr w:type="spellEnd"/>
      <w:r w:rsidRPr="000E3941">
        <w:rPr>
          <w:color w:val="EE0000"/>
        </w:rPr>
        <w:t>(</w:t>
      </w:r>
      <w:proofErr w:type="spellStart"/>
      <w:r w:rsidRPr="000E3941">
        <w:rPr>
          <w:color w:val="EE0000"/>
        </w:rPr>
        <w:t>countData</w:t>
      </w:r>
      <w:proofErr w:type="spellEnd"/>
      <w:r w:rsidRPr="000E3941">
        <w:rPr>
          <w:color w:val="EE0000"/>
        </w:rPr>
        <w:t xml:space="preserve"> = counts,</w:t>
      </w:r>
    </w:p>
    <w:p w14:paraId="05CF55CC" w14:textId="77777777" w:rsidR="00270FEB" w:rsidRPr="000E3941" w:rsidRDefault="00270FEB" w:rsidP="00270FEB">
      <w:pPr>
        <w:spacing w:after="0"/>
        <w:rPr>
          <w:color w:val="EE0000"/>
        </w:rPr>
      </w:pPr>
      <w:r w:rsidRPr="000E3941">
        <w:rPr>
          <w:color w:val="EE0000"/>
        </w:rPr>
        <w:t xml:space="preserve">                              </w:t>
      </w:r>
      <w:proofErr w:type="spellStart"/>
      <w:r w:rsidRPr="000E3941">
        <w:rPr>
          <w:color w:val="EE0000"/>
        </w:rPr>
        <w:t>colData</w:t>
      </w:r>
      <w:proofErr w:type="spellEnd"/>
      <w:r w:rsidRPr="000E3941">
        <w:rPr>
          <w:color w:val="EE0000"/>
        </w:rPr>
        <w:t xml:space="preserve"> = meta,</w:t>
      </w:r>
    </w:p>
    <w:p w14:paraId="7E1B15F3" w14:textId="77777777" w:rsidR="00270FEB" w:rsidRPr="000E3941" w:rsidRDefault="00270FEB" w:rsidP="00270FEB">
      <w:pPr>
        <w:spacing w:after="0"/>
        <w:rPr>
          <w:color w:val="EE0000"/>
        </w:rPr>
      </w:pPr>
      <w:r w:rsidRPr="000E3941">
        <w:rPr>
          <w:color w:val="EE0000"/>
        </w:rPr>
        <w:t xml:space="preserve">                              design = ~ age + sex + tissue + </w:t>
      </w:r>
      <w:proofErr w:type="spellStart"/>
      <w:r w:rsidRPr="000E3941">
        <w:rPr>
          <w:color w:val="EE0000"/>
        </w:rPr>
        <w:t>age:tissue</w:t>
      </w:r>
      <w:proofErr w:type="spellEnd"/>
      <w:r w:rsidRPr="000E3941">
        <w:rPr>
          <w:color w:val="EE0000"/>
        </w:rPr>
        <w:t>)</w:t>
      </w:r>
    </w:p>
    <w:p w14:paraId="7025F6DF" w14:textId="77777777" w:rsidR="00270FEB" w:rsidRPr="000E3941" w:rsidRDefault="00270FEB" w:rsidP="00270FEB">
      <w:pPr>
        <w:spacing w:after="0"/>
        <w:rPr>
          <w:color w:val="EE0000"/>
        </w:rPr>
      </w:pPr>
      <w:r w:rsidRPr="000E3941">
        <w:rPr>
          <w:color w:val="EE0000"/>
        </w:rPr>
        <w:t xml:space="preserve">dds &lt;- </w:t>
      </w:r>
      <w:proofErr w:type="spellStart"/>
      <w:r w:rsidRPr="000E3941">
        <w:rPr>
          <w:color w:val="EE0000"/>
        </w:rPr>
        <w:t>DESeq</w:t>
      </w:r>
      <w:proofErr w:type="spellEnd"/>
      <w:r w:rsidRPr="000E3941">
        <w:rPr>
          <w:color w:val="EE0000"/>
        </w:rPr>
        <w:t>(dds)</w:t>
      </w:r>
    </w:p>
    <w:p w14:paraId="7B7CC2EB" w14:textId="77777777" w:rsidR="00270FEB" w:rsidRPr="000E3941" w:rsidRDefault="00270FEB" w:rsidP="00270FEB">
      <w:pPr>
        <w:spacing w:after="0"/>
        <w:rPr>
          <w:color w:val="EE0000"/>
        </w:rPr>
      </w:pPr>
      <w:r w:rsidRPr="000E3941">
        <w:rPr>
          <w:color w:val="EE0000"/>
        </w:rPr>
        <w:t>res &lt;- results(dds, name="age", alpha=0.05)</w:t>
      </w:r>
    </w:p>
    <w:p w14:paraId="7C4E9F96" w14:textId="77777777" w:rsidR="00270FEB" w:rsidRDefault="00270FEB" w:rsidP="00270FEB">
      <w:pPr>
        <w:spacing w:after="0"/>
      </w:pPr>
    </w:p>
    <w:p w14:paraId="538BD4C8" w14:textId="54C34A10" w:rsidR="00270FEB" w:rsidRDefault="00270FEB" w:rsidP="00270FEB">
      <w:pPr>
        <w:spacing w:after="0"/>
      </w:pPr>
      <w:r>
        <w:t xml:space="preserve">This design captures both main effects of age (genes changing consistently across tissues) and </w:t>
      </w:r>
      <w:proofErr w:type="spellStart"/>
      <w:r>
        <w:t>age×tissue</w:t>
      </w:r>
      <w:proofErr w:type="spellEnd"/>
      <w:r>
        <w:t xml:space="preserve"> interactions (genes aging differently by tissue).</w:t>
      </w:r>
      <w:r w:rsidR="000E3941">
        <w:t xml:space="preserve"> </w:t>
      </w:r>
      <w:r>
        <w:t>Significantly age-associated genes (FDR &lt; 0.05) are extracted for each tissue and compared using Spearman correlation of log₂ fold changes.</w:t>
      </w:r>
      <w:r w:rsidR="000E3941">
        <w:t xml:space="preserve"> </w:t>
      </w:r>
      <w:r>
        <w:t>Correlation coefficients between tissues (e.g., brain vs. heart, brain vs. blood) quantify molecular synchronization of aging.</w:t>
      </w:r>
      <w:r w:rsidR="000E3941">
        <w:t xml:space="preserve"> </w:t>
      </w:r>
      <w:r>
        <w:t>Pathway enrichment analysis using clusterProfiler and GO/KEGG databases identifies biological processes overrepresented among age-upregulated and age-downregulated genes.</w:t>
      </w:r>
    </w:p>
    <w:p w14:paraId="366EE8A1" w14:textId="77777777" w:rsidR="00270FEB" w:rsidRDefault="00270FEB" w:rsidP="00270FEB">
      <w:pPr>
        <w:spacing w:after="0"/>
      </w:pPr>
    </w:p>
    <w:p w14:paraId="57DF3883" w14:textId="77777777" w:rsidR="00270FEB" w:rsidRDefault="00270FEB" w:rsidP="00270FEB">
      <w:pPr>
        <w:spacing w:after="0"/>
      </w:pPr>
      <w:r>
        <w:t>Visualizations include:</w:t>
      </w:r>
    </w:p>
    <w:p w14:paraId="2987D321" w14:textId="62979CA9" w:rsidR="00270FEB" w:rsidRDefault="00270FEB" w:rsidP="00270FEB">
      <w:pPr>
        <w:spacing w:after="0"/>
      </w:pPr>
      <w:r>
        <w:t>•</w:t>
      </w:r>
      <w:r w:rsidR="000C2BB6">
        <w:t xml:space="preserve"> </w:t>
      </w:r>
      <w:r>
        <w:t>Scatterplots of age-effect sizes between tissue pairs.</w:t>
      </w:r>
    </w:p>
    <w:p w14:paraId="5ABB7526" w14:textId="6166DB79" w:rsidR="00270FEB" w:rsidRDefault="00270FEB" w:rsidP="00270FEB">
      <w:pPr>
        <w:spacing w:after="0"/>
      </w:pPr>
      <w:r>
        <w:t>•</w:t>
      </w:r>
      <w:r w:rsidR="000C2BB6">
        <w:t xml:space="preserve"> </w:t>
      </w:r>
      <w:r>
        <w:t>Correlation heatmaps summarizing all pairwise relationships.</w:t>
      </w:r>
    </w:p>
    <w:p w14:paraId="648A1CAD" w14:textId="5CC389EB" w:rsidR="00270FEB" w:rsidRDefault="00270FEB" w:rsidP="00270FEB">
      <w:pPr>
        <w:spacing w:after="0"/>
      </w:pPr>
      <w:r>
        <w:t>•</w:t>
      </w:r>
      <w:r w:rsidR="000C2BB6">
        <w:t xml:space="preserve"> </w:t>
      </w:r>
      <w:r>
        <w:t>Venn diagrams of overlapping differentially expressed genes.</w:t>
      </w:r>
    </w:p>
    <w:p w14:paraId="217B0BF1" w14:textId="77777777" w:rsidR="00270FEB" w:rsidRDefault="00270FEB" w:rsidP="00270FEB">
      <w:pPr>
        <w:spacing w:after="0"/>
      </w:pPr>
    </w:p>
    <w:p w14:paraId="0885D008" w14:textId="77777777" w:rsidR="00270FEB" w:rsidRDefault="00270FEB" w:rsidP="00270FEB">
      <w:pPr>
        <w:spacing w:after="0"/>
      </w:pPr>
      <w:r>
        <w:t>These analyses reveal whether tissues age in molecular unison and highlight conserved pathways across organ systems.</w:t>
      </w:r>
    </w:p>
    <w:p w14:paraId="108A6E38" w14:textId="77777777" w:rsidR="00270FEB" w:rsidRDefault="00270FEB" w:rsidP="00270FEB">
      <w:pPr>
        <w:spacing w:after="0"/>
      </w:pPr>
    </w:p>
    <w:p w14:paraId="29B30D5F" w14:textId="77777777" w:rsidR="00270FEB" w:rsidRPr="001A7EF9" w:rsidRDefault="00270FEB" w:rsidP="00270FEB">
      <w:pPr>
        <w:spacing w:after="0"/>
        <w:rPr>
          <w:b/>
          <w:bCs/>
        </w:rPr>
      </w:pPr>
      <w:r w:rsidRPr="001A7EF9">
        <w:rPr>
          <w:b/>
          <w:bCs/>
        </w:rPr>
        <w:t>2.6 Pipeline B: Weighted Gene Co-Expression Network Analysis (WGCNA)</w:t>
      </w:r>
    </w:p>
    <w:p w14:paraId="5514C3BC" w14:textId="77777777" w:rsidR="00270FEB" w:rsidRDefault="00270FEB" w:rsidP="00270FEB">
      <w:pPr>
        <w:spacing w:after="0"/>
      </w:pPr>
    </w:p>
    <w:p w14:paraId="18A5F56A" w14:textId="77777777" w:rsidR="00270FEB" w:rsidRPr="001A7EF9" w:rsidRDefault="00270FEB" w:rsidP="00270FEB">
      <w:pPr>
        <w:spacing w:after="0"/>
        <w:rPr>
          <w:b/>
          <w:bCs/>
        </w:rPr>
      </w:pPr>
      <w:r w:rsidRPr="001A7EF9">
        <w:rPr>
          <w:b/>
          <w:bCs/>
        </w:rPr>
        <w:t>Scientific Aim:</w:t>
      </w:r>
    </w:p>
    <w:p w14:paraId="31C4AF7C" w14:textId="77777777" w:rsidR="00270FEB" w:rsidRDefault="00270FEB" w:rsidP="00270FEB">
      <w:pPr>
        <w:spacing w:after="0"/>
      </w:pPr>
      <w:r>
        <w:t>Identify modules of co-expressed genes that exhibit coordinated age-related activity across tissues—representing higher-order biological systems such as mitochondrial function, inflammation, or lipid metabolism.</w:t>
      </w:r>
    </w:p>
    <w:p w14:paraId="618D08ED" w14:textId="77777777" w:rsidR="00270FEB" w:rsidRDefault="00270FEB" w:rsidP="00270FEB">
      <w:pPr>
        <w:spacing w:after="0"/>
      </w:pPr>
    </w:p>
    <w:p w14:paraId="7A9C66FA" w14:textId="77777777" w:rsidR="00270FEB" w:rsidRPr="001A7EF9" w:rsidRDefault="00270FEB" w:rsidP="00270FEB">
      <w:pPr>
        <w:spacing w:after="0"/>
        <w:rPr>
          <w:b/>
          <w:bCs/>
        </w:rPr>
      </w:pPr>
      <w:r w:rsidRPr="001A7EF9">
        <w:rPr>
          <w:b/>
          <w:bCs/>
        </w:rPr>
        <w:t>Rationale and Method:</w:t>
      </w:r>
    </w:p>
    <w:p w14:paraId="5D2780D3" w14:textId="77777777" w:rsidR="00270FEB" w:rsidRDefault="00270FEB" w:rsidP="00270FEB">
      <w:pPr>
        <w:spacing w:after="0"/>
      </w:pPr>
      <w:r>
        <w:t>While differential-expression analysis examines each gene independently, network analysis considers gene–gene correlation patterns, offering a systemic view of transcriptional coordination.</w:t>
      </w:r>
    </w:p>
    <w:p w14:paraId="4F86102B" w14:textId="77777777" w:rsidR="00270FEB" w:rsidRDefault="00270FEB" w:rsidP="00270FEB">
      <w:pPr>
        <w:spacing w:after="0"/>
      </w:pPr>
    </w:p>
    <w:p w14:paraId="65272294" w14:textId="77777777" w:rsidR="00270FEB" w:rsidRDefault="00270FEB" w:rsidP="00270FEB">
      <w:pPr>
        <w:spacing w:after="0"/>
      </w:pPr>
      <w:r>
        <w:t>WGCNA constructs unsigned or signed networks where nodes represent genes and edges represent expression correlations. Modules (clusters of highly co-expressed genes) are summarized by their eigengenes—the first principal component of each module’s expression matrix—which can then be correlated with continuous variables such as donor age.</w:t>
      </w:r>
    </w:p>
    <w:p w14:paraId="29666341" w14:textId="77777777" w:rsidR="00270FEB" w:rsidRDefault="00270FEB" w:rsidP="00270FEB">
      <w:pPr>
        <w:spacing w:after="0"/>
      </w:pPr>
    </w:p>
    <w:p w14:paraId="57FA8622" w14:textId="77777777" w:rsidR="00270FEB" w:rsidRDefault="00270FEB" w:rsidP="00270FEB">
      <w:pPr>
        <w:spacing w:after="0"/>
      </w:pPr>
      <w:r>
        <w:t>Workflow example:</w:t>
      </w:r>
    </w:p>
    <w:p w14:paraId="40F8B82B" w14:textId="77777777" w:rsidR="00270FEB" w:rsidRPr="001A7EF9" w:rsidRDefault="00270FEB" w:rsidP="00270FEB">
      <w:pPr>
        <w:spacing w:after="0"/>
        <w:rPr>
          <w:color w:val="EE0000"/>
        </w:rPr>
      </w:pPr>
      <w:r w:rsidRPr="001A7EF9">
        <w:rPr>
          <w:color w:val="EE0000"/>
        </w:rPr>
        <w:t>library(WGCNA)</w:t>
      </w:r>
    </w:p>
    <w:p w14:paraId="20BE2017" w14:textId="77777777" w:rsidR="00270FEB" w:rsidRPr="001A7EF9" w:rsidRDefault="00270FEB" w:rsidP="00270FEB">
      <w:pPr>
        <w:spacing w:after="0"/>
        <w:rPr>
          <w:color w:val="EE0000"/>
        </w:rPr>
      </w:pPr>
      <w:proofErr w:type="spellStart"/>
      <w:r w:rsidRPr="001A7EF9">
        <w:rPr>
          <w:color w:val="EE0000"/>
        </w:rPr>
        <w:t>vsd</w:t>
      </w:r>
      <w:proofErr w:type="spellEnd"/>
      <w:r w:rsidRPr="001A7EF9">
        <w:rPr>
          <w:color w:val="EE0000"/>
        </w:rPr>
        <w:t xml:space="preserve"> &lt;- </w:t>
      </w:r>
      <w:proofErr w:type="spellStart"/>
      <w:r w:rsidRPr="001A7EF9">
        <w:rPr>
          <w:color w:val="EE0000"/>
        </w:rPr>
        <w:t>vst</w:t>
      </w:r>
      <w:proofErr w:type="spellEnd"/>
      <w:r w:rsidRPr="001A7EF9">
        <w:rPr>
          <w:color w:val="EE0000"/>
        </w:rPr>
        <w:t>(dds)</w:t>
      </w:r>
    </w:p>
    <w:p w14:paraId="38E1DD5C" w14:textId="77777777" w:rsidR="00270FEB" w:rsidRPr="001A7EF9" w:rsidRDefault="00270FEB" w:rsidP="00270FEB">
      <w:pPr>
        <w:spacing w:after="0"/>
        <w:rPr>
          <w:color w:val="EE0000"/>
        </w:rPr>
      </w:pPr>
      <w:proofErr w:type="spellStart"/>
      <w:r w:rsidRPr="001A7EF9">
        <w:rPr>
          <w:color w:val="EE0000"/>
        </w:rPr>
        <w:t>datExpr</w:t>
      </w:r>
      <w:proofErr w:type="spellEnd"/>
      <w:r w:rsidRPr="001A7EF9">
        <w:rPr>
          <w:color w:val="EE0000"/>
        </w:rPr>
        <w:t xml:space="preserve"> &lt;- t(assay(</w:t>
      </w:r>
      <w:proofErr w:type="spellStart"/>
      <w:r w:rsidRPr="001A7EF9">
        <w:rPr>
          <w:color w:val="EE0000"/>
        </w:rPr>
        <w:t>vsd</w:t>
      </w:r>
      <w:proofErr w:type="spellEnd"/>
      <w:r w:rsidRPr="001A7EF9">
        <w:rPr>
          <w:color w:val="EE0000"/>
        </w:rPr>
        <w:t>))        # genes as columns, samples as rows</w:t>
      </w:r>
    </w:p>
    <w:p w14:paraId="4BF5E571" w14:textId="77777777" w:rsidR="00270FEB" w:rsidRPr="001A7EF9" w:rsidRDefault="00270FEB" w:rsidP="00270FEB">
      <w:pPr>
        <w:spacing w:after="0"/>
        <w:rPr>
          <w:color w:val="EE0000"/>
        </w:rPr>
      </w:pPr>
      <w:r w:rsidRPr="001A7EF9">
        <w:rPr>
          <w:color w:val="EE0000"/>
        </w:rPr>
        <w:t>powers &lt;- c(4:12)</w:t>
      </w:r>
    </w:p>
    <w:p w14:paraId="337003C8" w14:textId="77777777" w:rsidR="00270FEB" w:rsidRPr="001A7EF9" w:rsidRDefault="00270FEB" w:rsidP="00270FEB">
      <w:pPr>
        <w:spacing w:after="0"/>
        <w:rPr>
          <w:color w:val="EE0000"/>
        </w:rPr>
      </w:pPr>
      <w:proofErr w:type="spellStart"/>
      <w:r w:rsidRPr="001A7EF9">
        <w:rPr>
          <w:color w:val="EE0000"/>
        </w:rPr>
        <w:t>sft</w:t>
      </w:r>
      <w:proofErr w:type="spellEnd"/>
      <w:r w:rsidRPr="001A7EF9">
        <w:rPr>
          <w:color w:val="EE0000"/>
        </w:rPr>
        <w:t xml:space="preserve"> &lt;- </w:t>
      </w:r>
      <w:proofErr w:type="spellStart"/>
      <w:r w:rsidRPr="001A7EF9">
        <w:rPr>
          <w:color w:val="EE0000"/>
        </w:rPr>
        <w:t>pickSoftThreshold</w:t>
      </w:r>
      <w:proofErr w:type="spellEnd"/>
      <w:r w:rsidRPr="001A7EF9">
        <w:rPr>
          <w:color w:val="EE0000"/>
        </w:rPr>
        <w:t>(</w:t>
      </w:r>
      <w:proofErr w:type="spellStart"/>
      <w:r w:rsidRPr="001A7EF9">
        <w:rPr>
          <w:color w:val="EE0000"/>
        </w:rPr>
        <w:t>datExpr</w:t>
      </w:r>
      <w:proofErr w:type="spellEnd"/>
      <w:r w:rsidRPr="001A7EF9">
        <w:rPr>
          <w:color w:val="EE0000"/>
        </w:rPr>
        <w:t xml:space="preserve">, </w:t>
      </w:r>
      <w:proofErr w:type="spellStart"/>
      <w:r w:rsidRPr="001A7EF9">
        <w:rPr>
          <w:color w:val="EE0000"/>
        </w:rPr>
        <w:t>powerVector</w:t>
      </w:r>
      <w:proofErr w:type="spellEnd"/>
      <w:r w:rsidRPr="001A7EF9">
        <w:rPr>
          <w:color w:val="EE0000"/>
        </w:rPr>
        <w:t>=powers)</w:t>
      </w:r>
    </w:p>
    <w:p w14:paraId="6B4DE06D" w14:textId="77777777" w:rsidR="00270FEB" w:rsidRPr="001A7EF9" w:rsidRDefault="00270FEB" w:rsidP="00270FEB">
      <w:pPr>
        <w:spacing w:after="0"/>
        <w:rPr>
          <w:color w:val="EE0000"/>
        </w:rPr>
      </w:pPr>
      <w:r w:rsidRPr="001A7EF9">
        <w:rPr>
          <w:color w:val="EE0000"/>
        </w:rPr>
        <w:t xml:space="preserve">net &lt;- </w:t>
      </w:r>
      <w:proofErr w:type="spellStart"/>
      <w:r w:rsidRPr="001A7EF9">
        <w:rPr>
          <w:color w:val="EE0000"/>
        </w:rPr>
        <w:t>blockwiseModules</w:t>
      </w:r>
      <w:proofErr w:type="spellEnd"/>
      <w:r w:rsidRPr="001A7EF9">
        <w:rPr>
          <w:color w:val="EE0000"/>
        </w:rPr>
        <w:t>(</w:t>
      </w:r>
      <w:proofErr w:type="spellStart"/>
      <w:r w:rsidRPr="001A7EF9">
        <w:rPr>
          <w:color w:val="EE0000"/>
        </w:rPr>
        <w:t>datExpr</w:t>
      </w:r>
      <w:proofErr w:type="spellEnd"/>
      <w:r w:rsidRPr="001A7EF9">
        <w:rPr>
          <w:color w:val="EE0000"/>
        </w:rPr>
        <w:t>, power=</w:t>
      </w:r>
      <w:proofErr w:type="spellStart"/>
      <w:r w:rsidRPr="001A7EF9">
        <w:rPr>
          <w:color w:val="EE0000"/>
        </w:rPr>
        <w:t>sft$powerEstimate</w:t>
      </w:r>
      <w:proofErr w:type="spellEnd"/>
      <w:r w:rsidRPr="001A7EF9">
        <w:rPr>
          <w:color w:val="EE0000"/>
        </w:rPr>
        <w:t>,</w:t>
      </w:r>
    </w:p>
    <w:p w14:paraId="25A7AE75" w14:textId="77777777" w:rsidR="00270FEB" w:rsidRPr="001A7EF9" w:rsidRDefault="00270FEB" w:rsidP="00270FEB">
      <w:pPr>
        <w:spacing w:after="0"/>
        <w:rPr>
          <w:color w:val="EE0000"/>
        </w:rPr>
      </w:pPr>
      <w:r w:rsidRPr="001A7EF9">
        <w:rPr>
          <w:color w:val="EE0000"/>
        </w:rPr>
        <w:t xml:space="preserve">                        </w:t>
      </w:r>
      <w:proofErr w:type="spellStart"/>
      <w:r w:rsidRPr="001A7EF9">
        <w:rPr>
          <w:color w:val="EE0000"/>
        </w:rPr>
        <w:t>TOMType</w:t>
      </w:r>
      <w:proofErr w:type="spellEnd"/>
      <w:r w:rsidRPr="001A7EF9">
        <w:rPr>
          <w:color w:val="EE0000"/>
        </w:rPr>
        <w:t xml:space="preserve">="signed", </w:t>
      </w:r>
      <w:proofErr w:type="spellStart"/>
      <w:r w:rsidRPr="001A7EF9">
        <w:rPr>
          <w:color w:val="EE0000"/>
        </w:rPr>
        <w:t>minModuleSize</w:t>
      </w:r>
      <w:proofErr w:type="spellEnd"/>
      <w:r w:rsidRPr="001A7EF9">
        <w:rPr>
          <w:color w:val="EE0000"/>
        </w:rPr>
        <w:t>=30,</w:t>
      </w:r>
    </w:p>
    <w:p w14:paraId="2CDC97E5" w14:textId="77777777" w:rsidR="00270FEB" w:rsidRPr="001A7EF9" w:rsidRDefault="00270FEB" w:rsidP="00270FEB">
      <w:pPr>
        <w:spacing w:after="0"/>
        <w:rPr>
          <w:color w:val="EE0000"/>
        </w:rPr>
      </w:pPr>
      <w:r w:rsidRPr="001A7EF9">
        <w:rPr>
          <w:color w:val="EE0000"/>
        </w:rPr>
        <w:t xml:space="preserve">                        </w:t>
      </w:r>
      <w:proofErr w:type="spellStart"/>
      <w:r w:rsidRPr="001A7EF9">
        <w:rPr>
          <w:color w:val="EE0000"/>
        </w:rPr>
        <w:t>mergeCutHeight</w:t>
      </w:r>
      <w:proofErr w:type="spellEnd"/>
      <w:r w:rsidRPr="001A7EF9">
        <w:rPr>
          <w:color w:val="EE0000"/>
        </w:rPr>
        <w:t>=0.25, verbose=3)</w:t>
      </w:r>
    </w:p>
    <w:p w14:paraId="25BBFA6B" w14:textId="77777777" w:rsidR="00270FEB" w:rsidRPr="001A7EF9" w:rsidRDefault="00270FEB" w:rsidP="00270FEB">
      <w:pPr>
        <w:spacing w:after="0"/>
        <w:rPr>
          <w:color w:val="EE0000"/>
        </w:rPr>
      </w:pPr>
      <w:r w:rsidRPr="001A7EF9">
        <w:rPr>
          <w:color w:val="EE0000"/>
        </w:rPr>
        <w:t xml:space="preserve">MEs &lt;- </w:t>
      </w:r>
      <w:proofErr w:type="spellStart"/>
      <w:r w:rsidRPr="001A7EF9">
        <w:rPr>
          <w:color w:val="EE0000"/>
        </w:rPr>
        <w:t>moduleEigengenes</w:t>
      </w:r>
      <w:proofErr w:type="spellEnd"/>
      <w:r w:rsidRPr="001A7EF9">
        <w:rPr>
          <w:color w:val="EE0000"/>
        </w:rPr>
        <w:t>(</w:t>
      </w:r>
      <w:proofErr w:type="spellStart"/>
      <w:r w:rsidRPr="001A7EF9">
        <w:rPr>
          <w:color w:val="EE0000"/>
        </w:rPr>
        <w:t>datExpr</w:t>
      </w:r>
      <w:proofErr w:type="spellEnd"/>
      <w:r w:rsidRPr="001A7EF9">
        <w:rPr>
          <w:color w:val="EE0000"/>
        </w:rPr>
        <w:t>)$eigengenes</w:t>
      </w:r>
    </w:p>
    <w:p w14:paraId="3782A6A0" w14:textId="77777777" w:rsidR="00270FEB" w:rsidRPr="001A7EF9" w:rsidRDefault="00270FEB" w:rsidP="00270FEB">
      <w:pPr>
        <w:spacing w:after="0"/>
        <w:rPr>
          <w:color w:val="EE0000"/>
        </w:rPr>
      </w:pPr>
      <w:proofErr w:type="spellStart"/>
      <w:r w:rsidRPr="001A7EF9">
        <w:rPr>
          <w:color w:val="EE0000"/>
        </w:rPr>
        <w:t>moduleTraitCor</w:t>
      </w:r>
      <w:proofErr w:type="spellEnd"/>
      <w:r w:rsidRPr="001A7EF9">
        <w:rPr>
          <w:color w:val="EE0000"/>
        </w:rPr>
        <w:t xml:space="preserve"> &lt;- </w:t>
      </w:r>
      <w:proofErr w:type="spellStart"/>
      <w:r w:rsidRPr="001A7EF9">
        <w:rPr>
          <w:color w:val="EE0000"/>
        </w:rPr>
        <w:t>cor</w:t>
      </w:r>
      <w:proofErr w:type="spellEnd"/>
      <w:r w:rsidRPr="001A7EF9">
        <w:rPr>
          <w:color w:val="EE0000"/>
        </w:rPr>
        <w:t xml:space="preserve">(MEs, </w:t>
      </w:r>
      <w:proofErr w:type="spellStart"/>
      <w:r w:rsidRPr="001A7EF9">
        <w:rPr>
          <w:color w:val="EE0000"/>
        </w:rPr>
        <w:t>meta$age</w:t>
      </w:r>
      <w:proofErr w:type="spellEnd"/>
      <w:r w:rsidRPr="001A7EF9">
        <w:rPr>
          <w:color w:val="EE0000"/>
        </w:rPr>
        <w:t>, use="p")</w:t>
      </w:r>
    </w:p>
    <w:p w14:paraId="2A3F141B" w14:textId="77777777" w:rsidR="00270FEB" w:rsidRDefault="00270FEB" w:rsidP="00270FEB">
      <w:pPr>
        <w:spacing w:after="0"/>
      </w:pPr>
    </w:p>
    <w:p w14:paraId="50F30A54" w14:textId="77777777" w:rsidR="00270FEB" w:rsidRDefault="00270FEB" w:rsidP="00270FEB">
      <w:pPr>
        <w:spacing w:after="0"/>
      </w:pPr>
      <w:r>
        <w:t>Modules significantly correlated with age are annotated for biological function using GO enrichment.</w:t>
      </w:r>
    </w:p>
    <w:p w14:paraId="16E00D0A" w14:textId="77777777" w:rsidR="00270FEB" w:rsidRDefault="00270FEB" w:rsidP="00270FEB">
      <w:pPr>
        <w:spacing w:after="0"/>
      </w:pPr>
    </w:p>
    <w:p w14:paraId="2C60E7EA" w14:textId="77777777" w:rsidR="00270FEB" w:rsidRDefault="00270FEB" w:rsidP="00270FEB">
      <w:pPr>
        <w:spacing w:after="0"/>
      </w:pPr>
      <w:r>
        <w:lastRenderedPageBreak/>
        <w:t>To assess cross-tissue coordination, module preservation statistics are computed across tissue-specific networks, identifying gene clusters that maintain structure between brain, heart, and blood.</w:t>
      </w:r>
    </w:p>
    <w:p w14:paraId="1CADC717" w14:textId="77777777" w:rsidR="00270FEB" w:rsidRDefault="00270FEB" w:rsidP="00270FEB">
      <w:pPr>
        <w:spacing w:after="0"/>
      </w:pPr>
    </w:p>
    <w:p w14:paraId="51BB70FB" w14:textId="77777777" w:rsidR="00270FEB" w:rsidRPr="00BB3EC2" w:rsidRDefault="00270FEB" w:rsidP="00270FEB">
      <w:pPr>
        <w:spacing w:after="0"/>
        <w:rPr>
          <w:b/>
          <w:bCs/>
        </w:rPr>
      </w:pPr>
      <w:r w:rsidRPr="00BB3EC2">
        <w:rPr>
          <w:b/>
          <w:bCs/>
        </w:rPr>
        <w:t>2.7 Integration of Pipelines A and B</w:t>
      </w:r>
    </w:p>
    <w:p w14:paraId="1EEA2CCB" w14:textId="77777777" w:rsidR="00270FEB" w:rsidRDefault="00270FEB" w:rsidP="00270FEB">
      <w:pPr>
        <w:spacing w:after="0"/>
      </w:pPr>
      <w:r>
        <w:t>The integration of DESeq2 and WGCNA results provides a multi-scale perspective on aging:</w:t>
      </w:r>
    </w:p>
    <w:p w14:paraId="49086FD9" w14:textId="77777777" w:rsidR="00BB3EC2" w:rsidRDefault="00BB3EC2" w:rsidP="00270FEB">
      <w:pPr>
        <w:spacing w:after="0"/>
      </w:pPr>
    </w:p>
    <w:p w14:paraId="18C538E5" w14:textId="192AC508" w:rsidR="00270FEB" w:rsidRDefault="00270FEB" w:rsidP="00270FEB">
      <w:pPr>
        <w:spacing w:after="0"/>
      </w:pPr>
      <w:r>
        <w:t>•</w:t>
      </w:r>
      <w:r w:rsidR="00BB3EC2">
        <w:t xml:space="preserve"> </w:t>
      </w:r>
      <w:r>
        <w:t>Genes significant in Pipeline A are intersected with modules from Pipeline B to identify modules enriched for age-differential genes.</w:t>
      </w:r>
    </w:p>
    <w:p w14:paraId="6124782A" w14:textId="4FA26429" w:rsidR="00270FEB" w:rsidRDefault="00270FEB" w:rsidP="00270FEB">
      <w:pPr>
        <w:spacing w:after="0"/>
      </w:pPr>
      <w:r>
        <w:t>•</w:t>
      </w:r>
      <w:r w:rsidR="00BB3EC2">
        <w:t xml:space="preserve"> </w:t>
      </w:r>
      <w:r>
        <w:t>Pathways appearing in both analyses are interpreted as core systemic aging mechanisms.</w:t>
      </w:r>
    </w:p>
    <w:p w14:paraId="4F22CE54" w14:textId="4C340425" w:rsidR="00270FEB" w:rsidRDefault="00270FEB" w:rsidP="00270FEB">
      <w:pPr>
        <w:spacing w:after="0"/>
      </w:pPr>
      <w:r>
        <w:t>•</w:t>
      </w:r>
      <w:r w:rsidR="00BB3EC2">
        <w:t xml:space="preserve"> </w:t>
      </w:r>
      <w:r>
        <w:t>Visualization integrates correlation matrices, module heatmaps, and enrichment maps to produce a composite brain–body aging atlas.</w:t>
      </w:r>
    </w:p>
    <w:p w14:paraId="05525C03" w14:textId="77777777" w:rsidR="00270FEB" w:rsidRDefault="00270FEB" w:rsidP="00270FEB">
      <w:pPr>
        <w:spacing w:after="0"/>
      </w:pPr>
    </w:p>
    <w:p w14:paraId="43A09D5B" w14:textId="77777777" w:rsidR="00270FEB" w:rsidRDefault="00270FEB" w:rsidP="00270FEB">
      <w:pPr>
        <w:spacing w:after="0"/>
      </w:pPr>
      <w:r>
        <w:t>This integrative framework allows linking fine-grained gene-level findings (Pipeline A) with broader network-level coordination (Pipeline B), emphasizing complementarity rather than competition.</w:t>
      </w:r>
    </w:p>
    <w:p w14:paraId="03C183BB" w14:textId="77777777" w:rsidR="00270FEB" w:rsidRDefault="00270FEB" w:rsidP="00270FEB">
      <w:pPr>
        <w:spacing w:after="0"/>
      </w:pPr>
    </w:p>
    <w:p w14:paraId="31E73DFA" w14:textId="77777777" w:rsidR="00270FEB" w:rsidRPr="00BB3EC2" w:rsidRDefault="00270FEB" w:rsidP="00270FEB">
      <w:pPr>
        <w:spacing w:after="0"/>
        <w:rPr>
          <w:b/>
          <w:bCs/>
        </w:rPr>
      </w:pPr>
      <w:r w:rsidRPr="00BB3EC2">
        <w:rPr>
          <w:b/>
          <w:bCs/>
        </w:rPr>
        <w:t>2.8 Computational Environment and Reproducibility</w:t>
      </w:r>
    </w:p>
    <w:p w14:paraId="0F417DA2" w14:textId="77777777" w:rsidR="00270FEB" w:rsidRDefault="00270FEB" w:rsidP="00270FEB">
      <w:pPr>
        <w:spacing w:after="0"/>
      </w:pPr>
      <w:r>
        <w:t xml:space="preserve">Analyses will be conducted using R (≥4.3) and Python (≥3.10) on a </w:t>
      </w:r>
      <w:r w:rsidRPr="00BB3EC2">
        <w:rPr>
          <w:highlight w:val="yellow"/>
        </w:rPr>
        <w:t>Linux environment</w:t>
      </w:r>
      <w:r>
        <w:t xml:space="preserve"> with </w:t>
      </w:r>
      <w:r w:rsidRPr="002634F5">
        <w:rPr>
          <w:highlight w:val="yellow"/>
        </w:rPr>
        <w:t>≥32 GB RAM.</w:t>
      </w:r>
      <w:r>
        <w:t xml:space="preserve"> Reproducibility is ensured through version control (GitHub repository), structured directory organization, and consistent use of random seeds for stochastic algorithms.</w:t>
      </w:r>
    </w:p>
    <w:p w14:paraId="5E7D7336" w14:textId="77777777" w:rsidR="00270FEB" w:rsidRDefault="00270FEB" w:rsidP="00270FEB">
      <w:pPr>
        <w:spacing w:after="0"/>
      </w:pPr>
    </w:p>
    <w:p w14:paraId="0DB9C3C6" w14:textId="77777777" w:rsidR="00270FEB" w:rsidRDefault="00270FEB" w:rsidP="00270FEB">
      <w:pPr>
        <w:spacing w:after="0"/>
      </w:pPr>
      <w:r>
        <w:t>Directory structure:</w:t>
      </w:r>
    </w:p>
    <w:p w14:paraId="2A983EA6" w14:textId="77777777" w:rsidR="00270FEB" w:rsidRPr="00BB3EC2" w:rsidRDefault="00270FEB" w:rsidP="00270FEB">
      <w:pPr>
        <w:spacing w:after="0"/>
        <w:rPr>
          <w:color w:val="EE0000"/>
        </w:rPr>
      </w:pPr>
      <w:proofErr w:type="spellStart"/>
      <w:r w:rsidRPr="00BB3EC2">
        <w:rPr>
          <w:color w:val="EE0000"/>
        </w:rPr>
        <w:t>project_root</w:t>
      </w:r>
      <w:proofErr w:type="spellEnd"/>
      <w:r w:rsidRPr="00BB3EC2">
        <w:rPr>
          <w:color w:val="EE0000"/>
        </w:rPr>
        <w:t>/</w:t>
      </w:r>
    </w:p>
    <w:p w14:paraId="2DA8373B" w14:textId="77777777" w:rsidR="00270FEB" w:rsidRPr="00BB3EC2" w:rsidRDefault="00270FEB" w:rsidP="00270FEB">
      <w:pPr>
        <w:spacing w:after="0"/>
        <w:rPr>
          <w:color w:val="EE0000"/>
        </w:rPr>
      </w:pPr>
      <w:r w:rsidRPr="00BB3EC2">
        <w:rPr>
          <w:rFonts w:ascii="MS Gothic" w:eastAsia="MS Gothic" w:hAnsi="MS Gothic" w:cs="MS Gothic" w:hint="eastAsia"/>
          <w:color w:val="EE0000"/>
        </w:rPr>
        <w:t>├</w:t>
      </w:r>
      <w:r w:rsidRPr="00BB3EC2">
        <w:rPr>
          <w:rFonts w:ascii="Aptos" w:hAnsi="Aptos" w:cs="Aptos"/>
          <w:color w:val="EE0000"/>
        </w:rPr>
        <w:t>──</w:t>
      </w:r>
      <w:r w:rsidRPr="00BB3EC2">
        <w:rPr>
          <w:color w:val="EE0000"/>
        </w:rPr>
        <w:t xml:space="preserve"> data/</w:t>
      </w:r>
    </w:p>
    <w:p w14:paraId="295B8C81" w14:textId="77777777" w:rsidR="00270FEB" w:rsidRPr="00BB3EC2" w:rsidRDefault="00270FEB" w:rsidP="00270FEB">
      <w:pPr>
        <w:spacing w:after="0"/>
        <w:rPr>
          <w:color w:val="EE0000"/>
        </w:rPr>
      </w:pPr>
      <w:r w:rsidRPr="00BB3EC2">
        <w:rPr>
          <w:color w:val="EE0000"/>
        </w:rPr>
        <w:t xml:space="preserve">│   </w:t>
      </w:r>
      <w:r w:rsidRPr="00BB3EC2">
        <w:rPr>
          <w:rFonts w:ascii="MS Gothic" w:eastAsia="MS Gothic" w:hAnsi="MS Gothic" w:cs="MS Gothic" w:hint="eastAsia"/>
          <w:color w:val="EE0000"/>
        </w:rPr>
        <w:t>├</w:t>
      </w:r>
      <w:r w:rsidRPr="00BB3EC2">
        <w:rPr>
          <w:rFonts w:ascii="Aptos" w:hAnsi="Aptos" w:cs="Aptos"/>
          <w:color w:val="EE0000"/>
        </w:rPr>
        <w:t>──</w:t>
      </w:r>
      <w:r w:rsidRPr="00BB3EC2">
        <w:rPr>
          <w:color w:val="EE0000"/>
        </w:rPr>
        <w:t xml:space="preserve"> </w:t>
      </w:r>
      <w:proofErr w:type="spellStart"/>
      <w:r w:rsidRPr="00BB3EC2">
        <w:rPr>
          <w:color w:val="EE0000"/>
        </w:rPr>
        <w:t>gtex_counts</w:t>
      </w:r>
      <w:proofErr w:type="spellEnd"/>
      <w:r w:rsidRPr="00BB3EC2">
        <w:rPr>
          <w:color w:val="EE0000"/>
        </w:rPr>
        <w:t>/</w:t>
      </w:r>
    </w:p>
    <w:p w14:paraId="382A01F0" w14:textId="77777777" w:rsidR="00270FEB" w:rsidRPr="00BB3EC2" w:rsidRDefault="00270FEB" w:rsidP="00270FEB">
      <w:pPr>
        <w:spacing w:after="0"/>
        <w:rPr>
          <w:color w:val="EE0000"/>
        </w:rPr>
      </w:pPr>
      <w:r w:rsidRPr="00BB3EC2">
        <w:rPr>
          <w:color w:val="EE0000"/>
        </w:rPr>
        <w:t xml:space="preserve">│   </w:t>
      </w:r>
      <w:r w:rsidRPr="00BB3EC2">
        <w:rPr>
          <w:rFonts w:ascii="MS Gothic" w:eastAsia="MS Gothic" w:hAnsi="MS Gothic" w:cs="MS Gothic" w:hint="eastAsia"/>
          <w:color w:val="EE0000"/>
        </w:rPr>
        <w:t>├</w:t>
      </w:r>
      <w:r w:rsidRPr="00BB3EC2">
        <w:rPr>
          <w:rFonts w:ascii="Aptos" w:hAnsi="Aptos" w:cs="Aptos"/>
          <w:color w:val="EE0000"/>
        </w:rPr>
        <w:t>──</w:t>
      </w:r>
      <w:r w:rsidRPr="00BB3EC2">
        <w:rPr>
          <w:color w:val="EE0000"/>
        </w:rPr>
        <w:t xml:space="preserve"> metadata/</w:t>
      </w:r>
    </w:p>
    <w:p w14:paraId="3E991C32" w14:textId="77777777" w:rsidR="00270FEB" w:rsidRPr="00BB3EC2" w:rsidRDefault="00270FEB" w:rsidP="00270FEB">
      <w:pPr>
        <w:spacing w:after="0"/>
        <w:rPr>
          <w:color w:val="EE0000"/>
        </w:rPr>
      </w:pPr>
      <w:r w:rsidRPr="00BB3EC2">
        <w:rPr>
          <w:rFonts w:ascii="MS Gothic" w:eastAsia="MS Gothic" w:hAnsi="MS Gothic" w:cs="MS Gothic" w:hint="eastAsia"/>
          <w:color w:val="EE0000"/>
        </w:rPr>
        <w:t>├</w:t>
      </w:r>
      <w:r w:rsidRPr="00BB3EC2">
        <w:rPr>
          <w:rFonts w:ascii="Aptos" w:hAnsi="Aptos" w:cs="Aptos"/>
          <w:color w:val="EE0000"/>
        </w:rPr>
        <w:t>──</w:t>
      </w:r>
      <w:r w:rsidRPr="00BB3EC2">
        <w:rPr>
          <w:color w:val="EE0000"/>
        </w:rPr>
        <w:t xml:space="preserve"> scripts/</w:t>
      </w:r>
    </w:p>
    <w:p w14:paraId="12DB72FF" w14:textId="77777777" w:rsidR="00270FEB" w:rsidRPr="00BB3EC2" w:rsidRDefault="00270FEB" w:rsidP="00270FEB">
      <w:pPr>
        <w:spacing w:after="0"/>
        <w:rPr>
          <w:color w:val="EE0000"/>
        </w:rPr>
      </w:pPr>
      <w:r w:rsidRPr="00BB3EC2">
        <w:rPr>
          <w:color w:val="EE0000"/>
        </w:rPr>
        <w:t xml:space="preserve">│   </w:t>
      </w:r>
      <w:r w:rsidRPr="00BB3EC2">
        <w:rPr>
          <w:rFonts w:ascii="MS Gothic" w:eastAsia="MS Gothic" w:hAnsi="MS Gothic" w:cs="MS Gothic" w:hint="eastAsia"/>
          <w:color w:val="EE0000"/>
        </w:rPr>
        <w:t>├</w:t>
      </w:r>
      <w:r w:rsidRPr="00BB3EC2">
        <w:rPr>
          <w:rFonts w:ascii="Aptos" w:hAnsi="Aptos" w:cs="Aptos"/>
          <w:color w:val="EE0000"/>
        </w:rPr>
        <w:t>──</w:t>
      </w:r>
      <w:r w:rsidRPr="00BB3EC2">
        <w:rPr>
          <w:color w:val="EE0000"/>
        </w:rPr>
        <w:t xml:space="preserve"> DESeq2_pipeline.R</w:t>
      </w:r>
    </w:p>
    <w:p w14:paraId="07D76965" w14:textId="77777777" w:rsidR="00270FEB" w:rsidRPr="00BB3EC2" w:rsidRDefault="00270FEB" w:rsidP="00270FEB">
      <w:pPr>
        <w:spacing w:after="0"/>
        <w:rPr>
          <w:color w:val="EE0000"/>
        </w:rPr>
      </w:pPr>
      <w:r w:rsidRPr="00BB3EC2">
        <w:rPr>
          <w:color w:val="EE0000"/>
        </w:rPr>
        <w:t xml:space="preserve">│   </w:t>
      </w:r>
      <w:r w:rsidRPr="00BB3EC2">
        <w:rPr>
          <w:rFonts w:ascii="MS Gothic" w:eastAsia="MS Gothic" w:hAnsi="MS Gothic" w:cs="MS Gothic" w:hint="eastAsia"/>
          <w:color w:val="EE0000"/>
        </w:rPr>
        <w:t>├</w:t>
      </w:r>
      <w:r w:rsidRPr="00BB3EC2">
        <w:rPr>
          <w:rFonts w:ascii="Aptos" w:hAnsi="Aptos" w:cs="Aptos"/>
          <w:color w:val="EE0000"/>
        </w:rPr>
        <w:t>──</w:t>
      </w:r>
      <w:r w:rsidRPr="00BB3EC2">
        <w:rPr>
          <w:color w:val="EE0000"/>
        </w:rPr>
        <w:t xml:space="preserve"> </w:t>
      </w:r>
      <w:proofErr w:type="spellStart"/>
      <w:r w:rsidRPr="00BB3EC2">
        <w:rPr>
          <w:color w:val="EE0000"/>
        </w:rPr>
        <w:t>WGCNA_pipeline.R</w:t>
      </w:r>
      <w:proofErr w:type="spellEnd"/>
    </w:p>
    <w:p w14:paraId="6DF3097A" w14:textId="77777777" w:rsidR="00270FEB" w:rsidRPr="00BB3EC2" w:rsidRDefault="00270FEB" w:rsidP="00270FEB">
      <w:pPr>
        <w:spacing w:after="0"/>
        <w:rPr>
          <w:color w:val="EE0000"/>
        </w:rPr>
      </w:pPr>
      <w:r w:rsidRPr="00BB3EC2">
        <w:rPr>
          <w:color w:val="EE0000"/>
        </w:rPr>
        <w:t>│   └── cross_tissue_analysis.py</w:t>
      </w:r>
    </w:p>
    <w:p w14:paraId="1FBF7998" w14:textId="77777777" w:rsidR="00270FEB" w:rsidRPr="00BB3EC2" w:rsidRDefault="00270FEB" w:rsidP="00270FEB">
      <w:pPr>
        <w:spacing w:after="0"/>
        <w:rPr>
          <w:color w:val="EE0000"/>
        </w:rPr>
      </w:pPr>
      <w:r w:rsidRPr="00BB3EC2">
        <w:rPr>
          <w:color w:val="EE0000"/>
        </w:rPr>
        <w:t>└── results/</w:t>
      </w:r>
    </w:p>
    <w:p w14:paraId="0FA881D5" w14:textId="77777777" w:rsidR="00270FEB" w:rsidRPr="00BB3EC2" w:rsidRDefault="00270FEB" w:rsidP="00270FEB">
      <w:pPr>
        <w:spacing w:after="0"/>
        <w:rPr>
          <w:color w:val="EE0000"/>
        </w:rPr>
      </w:pPr>
      <w:r w:rsidRPr="00BB3EC2">
        <w:rPr>
          <w:color w:val="EE0000"/>
        </w:rPr>
        <w:t xml:space="preserve">    </w:t>
      </w:r>
      <w:r w:rsidRPr="00BB3EC2">
        <w:rPr>
          <w:rFonts w:ascii="MS Gothic" w:eastAsia="MS Gothic" w:hAnsi="MS Gothic" w:cs="MS Gothic" w:hint="eastAsia"/>
          <w:color w:val="EE0000"/>
        </w:rPr>
        <w:t>├</w:t>
      </w:r>
      <w:r w:rsidRPr="00BB3EC2">
        <w:rPr>
          <w:rFonts w:ascii="Aptos" w:hAnsi="Aptos" w:cs="Aptos"/>
          <w:color w:val="EE0000"/>
        </w:rPr>
        <w:t>──</w:t>
      </w:r>
      <w:r w:rsidRPr="00BB3EC2">
        <w:rPr>
          <w:color w:val="EE0000"/>
        </w:rPr>
        <w:t xml:space="preserve"> figures/</w:t>
      </w:r>
    </w:p>
    <w:p w14:paraId="4E89720A" w14:textId="77777777" w:rsidR="00270FEB" w:rsidRPr="00BB3EC2" w:rsidRDefault="00270FEB" w:rsidP="00270FEB">
      <w:pPr>
        <w:spacing w:after="0"/>
        <w:rPr>
          <w:color w:val="EE0000"/>
        </w:rPr>
      </w:pPr>
      <w:r w:rsidRPr="00BB3EC2">
        <w:rPr>
          <w:color w:val="EE0000"/>
        </w:rPr>
        <w:t xml:space="preserve">    └── tables/</w:t>
      </w:r>
    </w:p>
    <w:p w14:paraId="09E8C32D" w14:textId="77777777" w:rsidR="00270FEB" w:rsidRDefault="00270FEB" w:rsidP="00270FEB">
      <w:pPr>
        <w:spacing w:after="0"/>
      </w:pPr>
    </w:p>
    <w:p w14:paraId="41944B25" w14:textId="77777777" w:rsidR="00270FEB" w:rsidRDefault="00270FEB" w:rsidP="00270FEB">
      <w:pPr>
        <w:spacing w:after="0"/>
      </w:pPr>
      <w:r>
        <w:lastRenderedPageBreak/>
        <w:t>All code will reference open GTEx download URLs, and processed count matrices will be shared via repository for reproducibility.</w:t>
      </w:r>
    </w:p>
    <w:p w14:paraId="7113B450" w14:textId="77777777" w:rsidR="00270FEB" w:rsidRDefault="00270FEB" w:rsidP="00270FEB">
      <w:pPr>
        <w:spacing w:after="0"/>
      </w:pPr>
    </w:p>
    <w:p w14:paraId="1BF95428" w14:textId="77777777" w:rsidR="00270FEB" w:rsidRPr="00BB3EC2" w:rsidRDefault="00270FEB" w:rsidP="00270FEB">
      <w:pPr>
        <w:spacing w:after="0"/>
        <w:rPr>
          <w:b/>
          <w:bCs/>
        </w:rPr>
      </w:pPr>
      <w:r w:rsidRPr="00BB3EC2">
        <w:rPr>
          <w:b/>
          <w:bCs/>
        </w:rPr>
        <w:t>2.9 Ethical and Accessibility Considerations</w:t>
      </w:r>
    </w:p>
    <w:p w14:paraId="471E3602" w14:textId="77777777" w:rsidR="00270FEB" w:rsidRDefault="00270FEB" w:rsidP="00270FEB">
      <w:pPr>
        <w:spacing w:after="0"/>
      </w:pPr>
      <w:r>
        <w:t>All data are derived from de-identified, publicly available GTEx resources, exempt from additional ethical review. Analyses adhere to GTEx’s data-use policy for open-access datasets, ensuring compliance with research reproducibility standards.</w:t>
      </w:r>
    </w:p>
    <w:p w14:paraId="6D0ABC65" w14:textId="77777777" w:rsidR="00270FEB" w:rsidRDefault="00270FEB" w:rsidP="00270FEB">
      <w:pPr>
        <w:spacing w:after="0"/>
      </w:pPr>
    </w:p>
    <w:p w14:paraId="4FEA6E72" w14:textId="77777777" w:rsidR="00270FEB" w:rsidRDefault="00270FEB" w:rsidP="00270FEB">
      <w:pPr>
        <w:spacing w:after="0"/>
      </w:pPr>
    </w:p>
    <w:p w14:paraId="6F9BD9B6" w14:textId="77777777" w:rsidR="00270FEB" w:rsidRPr="00BB3EC2" w:rsidRDefault="00270FEB" w:rsidP="00270FEB">
      <w:pPr>
        <w:spacing w:after="0"/>
        <w:rPr>
          <w:b/>
          <w:bCs/>
          <w:sz w:val="28"/>
          <w:szCs w:val="28"/>
        </w:rPr>
      </w:pPr>
      <w:r w:rsidRPr="00BB3EC2">
        <w:rPr>
          <w:b/>
          <w:bCs/>
          <w:sz w:val="28"/>
          <w:szCs w:val="28"/>
        </w:rPr>
        <w:t>3. Expected Results</w:t>
      </w:r>
    </w:p>
    <w:p w14:paraId="48FC1433" w14:textId="77777777" w:rsidR="00270FEB" w:rsidRDefault="00270FEB" w:rsidP="00270FEB">
      <w:pPr>
        <w:spacing w:after="0"/>
      </w:pPr>
    </w:p>
    <w:p w14:paraId="099FD6C0" w14:textId="77777777" w:rsidR="00270FEB" w:rsidRPr="00BB3EC2" w:rsidRDefault="00270FEB" w:rsidP="00270FEB">
      <w:pPr>
        <w:spacing w:after="0"/>
        <w:rPr>
          <w:b/>
          <w:bCs/>
        </w:rPr>
      </w:pPr>
      <w:r w:rsidRPr="00BB3EC2">
        <w:rPr>
          <w:b/>
          <w:bCs/>
        </w:rPr>
        <w:t>3.1 Anticipated Differential Expression Patterns</w:t>
      </w:r>
    </w:p>
    <w:p w14:paraId="53FE3EA5" w14:textId="77777777" w:rsidR="00270FEB" w:rsidRDefault="00270FEB" w:rsidP="00270FEB">
      <w:pPr>
        <w:spacing w:after="0"/>
      </w:pPr>
      <w:r>
        <w:t>The first computational pipeline (Pipeline A, DESeq2) is expected to reveal robust age-associated gene-expression signatures within each of the three studied tissues—brain (BA9), heart (left ventricle), and whole blood. Drawing upon previous GTEx aging analyses (e.g., Yang et al., 2015; Izgi et al., 2022; Briller et al., 2025), we anticipate a combination of tissue-specific and cross-tissue-conserved patterns.</w:t>
      </w:r>
    </w:p>
    <w:p w14:paraId="5BB610F0" w14:textId="77777777" w:rsidR="00270FEB" w:rsidRDefault="00270FEB" w:rsidP="00270FEB">
      <w:pPr>
        <w:spacing w:after="0"/>
      </w:pPr>
    </w:p>
    <w:p w14:paraId="72B4AE96" w14:textId="77777777" w:rsidR="00270FEB" w:rsidRDefault="00270FEB" w:rsidP="00270FEB">
      <w:pPr>
        <w:spacing w:after="0"/>
      </w:pPr>
      <w:r>
        <w:t>At the individual gene level, mitochondrial oxidative phosphorylation genes (including components of the electron transport chain such as NDUFA9, COX5B, and ATP5O) are expected to show age-dependent downregulation across all tissues, reflecting a generalized decline in cellular energy metabolism. Conversely, inflammatory response genes (e.g., IL6, TNF, CXCL10) and extracellular matrix remodeling genes (e.g., COL1A1, MMP2, FN1) are likely to exhibit upregulation with age, consistent with chronic low-grade inflammation (“inflammaging”) and vascular remodeling.</w:t>
      </w:r>
    </w:p>
    <w:p w14:paraId="189AA3CF" w14:textId="77777777" w:rsidR="00270FEB" w:rsidRDefault="00270FEB" w:rsidP="00270FEB">
      <w:pPr>
        <w:spacing w:after="0"/>
      </w:pPr>
    </w:p>
    <w:p w14:paraId="7F8B04A7" w14:textId="77777777" w:rsidR="00270FEB" w:rsidRDefault="00270FEB" w:rsidP="00270FEB">
      <w:pPr>
        <w:spacing w:after="0"/>
      </w:pPr>
      <w:r>
        <w:t>The brain–heart correlation of log₂ fold-changes is expected to yield moderate positive correlation coefficients (Spearman ρ ≈ 0.4–0.6), indicating partial synchronization in age-related expression trajectories. Heart and blood are expected to correlate more strongly (ρ ≈ 0.6–0.7), while brain–blood correlations may be weaker but still statistically significant (ρ ≈ 0.3–0.5). Such results would suggest that while many age effects are tissue-specific, subsets of genes and pathways participate in coordinated systemic aging programs.</w:t>
      </w:r>
    </w:p>
    <w:p w14:paraId="133E6D50" w14:textId="77777777" w:rsidR="00270FEB" w:rsidRDefault="00270FEB" w:rsidP="00270FEB">
      <w:pPr>
        <w:spacing w:after="0"/>
      </w:pPr>
    </w:p>
    <w:p w14:paraId="5CF4463D" w14:textId="77777777" w:rsidR="00270FEB" w:rsidRDefault="00270FEB" w:rsidP="00270FEB">
      <w:pPr>
        <w:spacing w:after="0"/>
      </w:pPr>
      <w:r w:rsidRPr="00BB3EC2">
        <w:rPr>
          <w:b/>
          <w:bCs/>
        </w:rPr>
        <w:t>Figure 2</w:t>
      </w:r>
      <w:r>
        <w:t xml:space="preserve"> (to be generated) will depict scatterplots comparing log₂ fold-changes between tissue pairs—each point representing a gene, with density contours emphasizing correlated trends. Genes upregulated or downregulated consistently across tissues will cluster along the diagonal, visually demonstrating coordinated aging.</w:t>
      </w:r>
    </w:p>
    <w:p w14:paraId="22378A7F" w14:textId="77777777" w:rsidR="00270FEB" w:rsidRDefault="00270FEB" w:rsidP="00270FEB">
      <w:pPr>
        <w:spacing w:after="0"/>
      </w:pPr>
    </w:p>
    <w:p w14:paraId="47C8F909" w14:textId="77777777" w:rsidR="00270FEB" w:rsidRDefault="00270FEB" w:rsidP="00270FEB">
      <w:pPr>
        <w:spacing w:after="0"/>
      </w:pPr>
      <w:r w:rsidRPr="00BB3EC2">
        <w:rPr>
          <w:b/>
          <w:bCs/>
        </w:rPr>
        <w:lastRenderedPageBreak/>
        <w:t>Figure 3</w:t>
      </w:r>
      <w:r>
        <w:t xml:space="preserve"> will summarize these relationships using a correlation heatmap (tissue × tissue matrix), revealing the relative co-aging strength among tissues.</w:t>
      </w:r>
    </w:p>
    <w:p w14:paraId="0406B261" w14:textId="77777777" w:rsidR="00270FEB" w:rsidRDefault="00270FEB" w:rsidP="00270FEB">
      <w:pPr>
        <w:spacing w:after="0"/>
      </w:pPr>
    </w:p>
    <w:p w14:paraId="0FF5DA21" w14:textId="77777777" w:rsidR="00270FEB" w:rsidRDefault="00270FEB" w:rsidP="00270FEB">
      <w:pPr>
        <w:spacing w:after="0"/>
      </w:pPr>
      <w:r>
        <w:t>Enrichment analyses will identify functional categories shared between tissues. We expect GO terms such as “mitochondrial respiratory chain,” “oxidative phosphorylation,” “inflammatory response,” “extracellular matrix organization,” and “apoptotic signaling” to appear recurrently among the top enriched pathways in both brain and peripheral tissues.</w:t>
      </w:r>
    </w:p>
    <w:p w14:paraId="65BDE1E1" w14:textId="77777777" w:rsidR="00270FEB" w:rsidRDefault="00270FEB" w:rsidP="00270FEB">
      <w:pPr>
        <w:spacing w:after="0"/>
      </w:pPr>
    </w:p>
    <w:p w14:paraId="408F4FED" w14:textId="77777777" w:rsidR="00270FEB" w:rsidRDefault="00270FEB" w:rsidP="00270FEB">
      <w:pPr>
        <w:spacing w:after="0"/>
      </w:pPr>
      <w:r>
        <w:t>These shared biological themes provide an entry point into understanding how systemic physiological decline parallels neural aging.</w:t>
      </w:r>
    </w:p>
    <w:p w14:paraId="54FA131C" w14:textId="77777777" w:rsidR="00270FEB" w:rsidRDefault="00270FEB" w:rsidP="00270FEB">
      <w:pPr>
        <w:spacing w:after="0"/>
      </w:pPr>
    </w:p>
    <w:p w14:paraId="18BBF51D" w14:textId="77777777" w:rsidR="00270FEB" w:rsidRPr="00BB3EC2" w:rsidRDefault="00270FEB" w:rsidP="00270FEB">
      <w:pPr>
        <w:spacing w:after="0"/>
        <w:rPr>
          <w:b/>
          <w:bCs/>
        </w:rPr>
      </w:pPr>
      <w:r w:rsidRPr="00BB3EC2">
        <w:rPr>
          <w:b/>
          <w:bCs/>
        </w:rPr>
        <w:t>3.2 Expected Co-Expression Network Architecture</w:t>
      </w:r>
    </w:p>
    <w:p w14:paraId="7DB70823" w14:textId="77777777" w:rsidR="00270FEB" w:rsidRDefault="00270FEB" w:rsidP="00270FEB">
      <w:pPr>
        <w:spacing w:after="0"/>
      </w:pPr>
      <w:r>
        <w:t>The second computational framework (Pipeline B, WGCNA) will elucidate higher-order coordination in aging by revealing gene modules that co-vary in expression across samples and correlate with age. Based on prior GTEx WGCNA studies (Briller et al., 2025; Izgi et al., 2022), we anticipate the emergence of 5–10 major modules per tissue, each corresponding to functional gene clusters such as mitochondrial metabolism, immune activation, synaptic signaling, lipid metabolism, and proteostasis.</w:t>
      </w:r>
    </w:p>
    <w:p w14:paraId="71C0262A" w14:textId="77777777" w:rsidR="00270FEB" w:rsidRDefault="00270FEB" w:rsidP="00270FEB">
      <w:pPr>
        <w:spacing w:after="0"/>
      </w:pPr>
    </w:p>
    <w:p w14:paraId="73851869" w14:textId="77777777" w:rsidR="00270FEB" w:rsidRDefault="00270FEB" w:rsidP="00270FEB">
      <w:pPr>
        <w:spacing w:after="0"/>
      </w:pPr>
      <w:r>
        <w:t>In each tissue-specific network, module eigengenes—the first principal component summarizing each module’s expression pattern—will be correlated with continuous donor age. Modules displaying strong correlations (|r| ≥ 0.5, FDR &lt; 0.05) will be considered “age-modulated modules.”</w:t>
      </w:r>
    </w:p>
    <w:p w14:paraId="5406576C" w14:textId="77777777" w:rsidR="00270FEB" w:rsidRDefault="00270FEB" w:rsidP="00270FEB">
      <w:pPr>
        <w:spacing w:after="0"/>
      </w:pPr>
    </w:p>
    <w:p w14:paraId="1254BE00" w14:textId="77777777" w:rsidR="00270FEB" w:rsidRDefault="00270FEB" w:rsidP="00270FEB">
      <w:pPr>
        <w:spacing w:after="0"/>
      </w:pPr>
      <w:r w:rsidRPr="00BB3EC2">
        <w:rPr>
          <w:b/>
          <w:bCs/>
        </w:rPr>
        <w:t>In the brain</w:t>
      </w:r>
      <w:r>
        <w:t>, we expect to identify a “blue” module negatively correlated with age (representing mitochondrial and synaptic genes) and a “brown” module positively correlated with age (representing neuroinflammatory and glial response genes).</w:t>
      </w:r>
    </w:p>
    <w:p w14:paraId="64E58170" w14:textId="77777777" w:rsidR="00BB3EC2" w:rsidRDefault="00BB3EC2" w:rsidP="00270FEB">
      <w:pPr>
        <w:spacing w:after="0"/>
      </w:pPr>
    </w:p>
    <w:p w14:paraId="5809D1D4" w14:textId="028FE233" w:rsidR="00270FEB" w:rsidRDefault="00270FEB" w:rsidP="00270FEB">
      <w:pPr>
        <w:spacing w:after="0"/>
      </w:pPr>
      <w:r w:rsidRPr="00BB3EC2">
        <w:rPr>
          <w:b/>
          <w:bCs/>
        </w:rPr>
        <w:t>In the heart and blood,</w:t>
      </w:r>
      <w:r>
        <w:t xml:space="preserve"> modules enriched for mitochondrial genes should also decline with age, while immune and stress-related modules increase—reflecting parallel physiological aging processes.</w:t>
      </w:r>
    </w:p>
    <w:p w14:paraId="0BC384F7" w14:textId="77777777" w:rsidR="00270FEB" w:rsidRDefault="00270FEB" w:rsidP="00270FEB">
      <w:pPr>
        <w:spacing w:after="0"/>
      </w:pPr>
    </w:p>
    <w:p w14:paraId="6EB4FCE1" w14:textId="438E1924" w:rsidR="00270FEB" w:rsidRDefault="00270FEB" w:rsidP="00270FEB">
      <w:pPr>
        <w:spacing w:after="0"/>
      </w:pPr>
      <w:r>
        <w:t>Cross-tissue module preservation analysis will likely show partial overlap between these modules, particularly in inflammation- and metabolism-related networks.</w:t>
      </w:r>
      <w:r w:rsidR="00BB3EC2">
        <w:t xml:space="preserve"> </w:t>
      </w:r>
      <w:r>
        <w:t>For example, a “turquoise” module of immune signaling genes identified in blood may exhibit preservation statistics (Zsummary &gt; 10) when compared with heart or brain data, indicating robust cross-tissue synchronization of inflammatory aging.</w:t>
      </w:r>
    </w:p>
    <w:p w14:paraId="30563C39" w14:textId="77777777" w:rsidR="00270FEB" w:rsidRDefault="00270FEB" w:rsidP="00270FEB">
      <w:pPr>
        <w:spacing w:after="0"/>
      </w:pPr>
    </w:p>
    <w:p w14:paraId="7751338A" w14:textId="77777777" w:rsidR="00270FEB" w:rsidRDefault="00270FEB" w:rsidP="00270FEB">
      <w:pPr>
        <w:spacing w:after="0"/>
      </w:pPr>
      <w:r w:rsidRPr="00BB3EC2">
        <w:rPr>
          <w:b/>
          <w:bCs/>
        </w:rPr>
        <w:lastRenderedPageBreak/>
        <w:t>Figure 4</w:t>
      </w:r>
      <w:r>
        <w:t xml:space="preserve"> will present a dendrogram of gene clustering (WGCNA output), alongside a module–trait correlation heatmap where rows represent modules and columns represent traits (age, sex, tissue type). Color gradients will visualize the direction and magnitude of correlations, allowing intuitive interpretation of how different biological systems respond to age across tissues.</w:t>
      </w:r>
    </w:p>
    <w:p w14:paraId="0133375D" w14:textId="77777777" w:rsidR="00270FEB" w:rsidRDefault="00270FEB" w:rsidP="00270FEB">
      <w:pPr>
        <w:spacing w:after="0"/>
      </w:pPr>
    </w:p>
    <w:p w14:paraId="24DF9293" w14:textId="77777777" w:rsidR="00270FEB" w:rsidRPr="00BB3EC2" w:rsidRDefault="00270FEB" w:rsidP="00270FEB">
      <w:pPr>
        <w:spacing w:after="0"/>
        <w:rPr>
          <w:b/>
          <w:bCs/>
        </w:rPr>
      </w:pPr>
      <w:r w:rsidRPr="00BB3EC2">
        <w:rPr>
          <w:b/>
          <w:bCs/>
        </w:rPr>
        <w:t>3.3 Integration of Differential Expression and Network Analyses</w:t>
      </w:r>
    </w:p>
    <w:p w14:paraId="3006D630" w14:textId="77777777" w:rsidR="00270FEB" w:rsidRDefault="00270FEB" w:rsidP="00270FEB">
      <w:pPr>
        <w:spacing w:after="0"/>
      </w:pPr>
      <w:r>
        <w:t>The integrative analysis will connect gene-level differential expression (Pipeline A) with module-level co-expression structure (Pipeline B). By intersecting DESeq2-derived age-associated genes with WGCNA modules, we can determine which networks are enriched for strongly age-regulated genes. This cross-validation ensures that findings from one framework are biologically coherent within the systemic network context of the other.</w:t>
      </w:r>
    </w:p>
    <w:p w14:paraId="1153CB0A" w14:textId="77777777" w:rsidR="00270FEB" w:rsidRDefault="00270FEB" w:rsidP="00270FEB">
      <w:pPr>
        <w:spacing w:after="0"/>
      </w:pPr>
    </w:p>
    <w:p w14:paraId="56A1076D" w14:textId="77777777" w:rsidR="00270FEB" w:rsidRDefault="00270FEB" w:rsidP="00270FEB">
      <w:pPr>
        <w:spacing w:after="0"/>
      </w:pPr>
      <w:r>
        <w:t>It is expected that modules enriched for DESeq2-significant genes will align with the major aging pathways observed across tissues—particularly mitochondrial, lipid metabolic, and immune modules. Such convergence reinforces the notion that aging reflects both quantitative shifts in individual gene expression and qualitative reorganization of molecular networks.</w:t>
      </w:r>
    </w:p>
    <w:p w14:paraId="7AA6B90C" w14:textId="77777777" w:rsidR="00270FEB" w:rsidRDefault="00270FEB" w:rsidP="00270FEB">
      <w:pPr>
        <w:spacing w:after="0"/>
      </w:pPr>
    </w:p>
    <w:p w14:paraId="6915FECA" w14:textId="77777777" w:rsidR="00270FEB" w:rsidRDefault="00270FEB" w:rsidP="00270FEB">
      <w:pPr>
        <w:spacing w:after="0"/>
      </w:pPr>
      <w:r w:rsidRPr="00BB3EC2">
        <w:rPr>
          <w:b/>
          <w:bCs/>
        </w:rPr>
        <w:t>Figure 5</w:t>
      </w:r>
      <w:r>
        <w:t xml:space="preserve"> (planned) will visualize this intersection using Venn diagrams or an </w:t>
      </w:r>
      <w:proofErr w:type="spellStart"/>
      <w:r>
        <w:t>UpSet</w:t>
      </w:r>
      <w:proofErr w:type="spellEnd"/>
      <w:r>
        <w:t xml:space="preserve"> plot, indicating the proportion of DE genes belonging to each age-associated module.</w:t>
      </w:r>
    </w:p>
    <w:p w14:paraId="0BDC67EC" w14:textId="77777777" w:rsidR="00270FEB" w:rsidRDefault="00270FEB" w:rsidP="00270FEB">
      <w:pPr>
        <w:spacing w:after="0"/>
      </w:pPr>
      <w:r>
        <w:t>This integrative view allows readers to see how the two computational lenses—statistical and network-based—merge to describe a coherent biological story.</w:t>
      </w:r>
    </w:p>
    <w:p w14:paraId="218B88BA" w14:textId="77777777" w:rsidR="00270FEB" w:rsidRDefault="00270FEB" w:rsidP="00270FEB">
      <w:pPr>
        <w:spacing w:after="0"/>
      </w:pPr>
    </w:p>
    <w:p w14:paraId="0108FFB2" w14:textId="77777777" w:rsidR="00270FEB" w:rsidRPr="00BB3EC2" w:rsidRDefault="00270FEB" w:rsidP="00270FEB">
      <w:pPr>
        <w:spacing w:after="0"/>
        <w:rPr>
          <w:b/>
          <w:bCs/>
        </w:rPr>
      </w:pPr>
      <w:r w:rsidRPr="00BB3EC2">
        <w:rPr>
          <w:b/>
          <w:bCs/>
        </w:rPr>
        <w:t>3.4 Summary of Expected Figures and Outputs</w:t>
      </w:r>
    </w:p>
    <w:p w14:paraId="063B2A86" w14:textId="3D0312F6" w:rsidR="00270FEB" w:rsidRDefault="00270FEB" w:rsidP="00270FEB">
      <w:pPr>
        <w:spacing w:after="0"/>
      </w:pPr>
      <w:r>
        <w:t>For reference, the figures anticipated from these analyses are summarized below:</w:t>
      </w:r>
    </w:p>
    <w:p w14:paraId="76F5E071" w14:textId="77777777" w:rsidR="00BB3EC2" w:rsidRDefault="00BB3EC2" w:rsidP="00270FEB">
      <w:pPr>
        <w:spacing w:after="0"/>
      </w:pPr>
    </w:p>
    <w:p w14:paraId="39D70C96" w14:textId="3D673FB0" w:rsidR="00270FEB" w:rsidRDefault="00270FEB" w:rsidP="00270FEB">
      <w:pPr>
        <w:spacing w:after="0"/>
      </w:pPr>
      <w:r>
        <w:t>Figure 1: Overview of computational pipelines (included in Methods).</w:t>
      </w:r>
    </w:p>
    <w:p w14:paraId="0A0AAC97" w14:textId="77777777" w:rsidR="00270FEB" w:rsidRDefault="00270FEB" w:rsidP="00270FEB">
      <w:pPr>
        <w:spacing w:after="0"/>
      </w:pPr>
      <w:r>
        <w:t>Figure 2: Scatterplot of age-related fold changes (brain vs. heart; brain vs. blood).</w:t>
      </w:r>
    </w:p>
    <w:p w14:paraId="568BC504" w14:textId="77777777" w:rsidR="00270FEB" w:rsidRDefault="00270FEB" w:rsidP="00270FEB">
      <w:pPr>
        <w:spacing w:after="0"/>
      </w:pPr>
      <w:r>
        <w:t>Figure 3: Heatmap of cross-tissue correlation coefficients (co-aging matrix).</w:t>
      </w:r>
    </w:p>
    <w:p w14:paraId="4B121214" w14:textId="77777777" w:rsidR="00270FEB" w:rsidRDefault="00270FEB" w:rsidP="00270FEB">
      <w:pPr>
        <w:spacing w:after="0"/>
      </w:pPr>
      <w:r>
        <w:t>Figure 4: WGCNA dendrogram and module–trait correlation heatmap.</w:t>
      </w:r>
    </w:p>
    <w:p w14:paraId="0F4C6B20" w14:textId="77777777" w:rsidR="00270FEB" w:rsidRDefault="00270FEB" w:rsidP="00270FEB">
      <w:pPr>
        <w:spacing w:after="0"/>
      </w:pPr>
      <w:r>
        <w:t>Figure 5: Overlap of DESeq2-significant genes with WGCNA modules.</w:t>
      </w:r>
    </w:p>
    <w:p w14:paraId="01B666A6" w14:textId="77777777" w:rsidR="00270FEB" w:rsidRDefault="00270FEB" w:rsidP="00270FEB">
      <w:pPr>
        <w:spacing w:after="0"/>
      </w:pPr>
      <w:r>
        <w:t>Figure 6: Functional enrichment network of shared age-associated pathways.</w:t>
      </w:r>
    </w:p>
    <w:p w14:paraId="4D8C8E60" w14:textId="77777777" w:rsidR="00270FEB" w:rsidRDefault="00270FEB" w:rsidP="00270FEB">
      <w:pPr>
        <w:spacing w:after="0"/>
      </w:pPr>
    </w:p>
    <w:p w14:paraId="243EC8D4" w14:textId="77777777" w:rsidR="00270FEB" w:rsidRDefault="00270FEB" w:rsidP="00270FEB">
      <w:pPr>
        <w:spacing w:after="0"/>
      </w:pPr>
      <w:r>
        <w:t>Together, these visualizations will trace the full analytical logic:</w:t>
      </w:r>
    </w:p>
    <w:p w14:paraId="17AB303B" w14:textId="77777777" w:rsidR="00270FEB" w:rsidRDefault="00270FEB" w:rsidP="00270FEB">
      <w:pPr>
        <w:spacing w:after="0"/>
      </w:pPr>
      <w:r>
        <w:t>from raw reads → normalized counts → differential and network analyses → integrated biological interpretation.</w:t>
      </w:r>
    </w:p>
    <w:p w14:paraId="1D65F84A" w14:textId="77777777" w:rsidR="00270FEB" w:rsidRDefault="00270FEB" w:rsidP="00270FEB">
      <w:pPr>
        <w:spacing w:after="0"/>
      </w:pPr>
    </w:p>
    <w:p w14:paraId="6BF2F2D7" w14:textId="77777777" w:rsidR="00270FEB" w:rsidRPr="00721A30" w:rsidRDefault="00270FEB" w:rsidP="00270FEB">
      <w:pPr>
        <w:spacing w:after="0"/>
        <w:rPr>
          <w:b/>
          <w:bCs/>
          <w:sz w:val="28"/>
          <w:szCs w:val="28"/>
        </w:rPr>
      </w:pPr>
      <w:r w:rsidRPr="00721A30">
        <w:rPr>
          <w:b/>
          <w:bCs/>
          <w:sz w:val="28"/>
          <w:szCs w:val="28"/>
        </w:rPr>
        <w:lastRenderedPageBreak/>
        <w:t>4. Discussion</w:t>
      </w:r>
    </w:p>
    <w:p w14:paraId="625B18A4" w14:textId="77777777" w:rsidR="00270FEB" w:rsidRDefault="00270FEB" w:rsidP="00270FEB">
      <w:pPr>
        <w:spacing w:after="0"/>
      </w:pPr>
    </w:p>
    <w:p w14:paraId="5BCD3334" w14:textId="77777777" w:rsidR="00270FEB" w:rsidRPr="00721A30" w:rsidRDefault="00270FEB" w:rsidP="00270FEB">
      <w:pPr>
        <w:spacing w:after="0"/>
        <w:rPr>
          <w:b/>
          <w:bCs/>
        </w:rPr>
      </w:pPr>
      <w:r w:rsidRPr="00721A30">
        <w:rPr>
          <w:b/>
          <w:bCs/>
        </w:rPr>
        <w:t>4.1 Complementarity of Bioinformatics Frameworks</w:t>
      </w:r>
    </w:p>
    <w:p w14:paraId="6A3233BF" w14:textId="77777777" w:rsidR="00270FEB" w:rsidRDefault="00270FEB" w:rsidP="00270FEB">
      <w:pPr>
        <w:spacing w:after="0"/>
      </w:pPr>
      <w:r>
        <w:t>This project is designed to illustrate how two foundational approaches in bioinformatics—differential-expression analysis and co-expression network analysis—can work in concert rather than competition.</w:t>
      </w:r>
    </w:p>
    <w:p w14:paraId="22F808C5" w14:textId="77777777" w:rsidR="00270FEB" w:rsidRDefault="00270FEB" w:rsidP="00270FEB">
      <w:pPr>
        <w:spacing w:after="0"/>
      </w:pPr>
    </w:p>
    <w:p w14:paraId="20753400" w14:textId="77777777" w:rsidR="00270FEB" w:rsidRDefault="00270FEB" w:rsidP="00270FEB">
      <w:pPr>
        <w:spacing w:after="0"/>
      </w:pPr>
      <w:r w:rsidRPr="00721A30">
        <w:rPr>
          <w:b/>
          <w:bCs/>
        </w:rPr>
        <w:t>Pipeline A</w:t>
      </w:r>
      <w:r>
        <w:t xml:space="preserve"> offers gene-level precision, providing statistical evidence for individual transcripts whose abundance changes with age.</w:t>
      </w:r>
    </w:p>
    <w:p w14:paraId="4B58B3F3" w14:textId="77777777" w:rsidR="00270FEB" w:rsidRDefault="00270FEB" w:rsidP="00270FEB">
      <w:pPr>
        <w:spacing w:after="0"/>
      </w:pPr>
    </w:p>
    <w:p w14:paraId="24FC43DA" w14:textId="77777777" w:rsidR="00270FEB" w:rsidRDefault="00270FEB" w:rsidP="00270FEB">
      <w:pPr>
        <w:spacing w:after="0"/>
      </w:pPr>
      <w:r w:rsidRPr="00721A30">
        <w:rPr>
          <w:b/>
          <w:bCs/>
        </w:rPr>
        <w:t>Pipeline B</w:t>
      </w:r>
      <w:r>
        <w:t xml:space="preserve"> contextualizes those changes within broader gene networks, identifying coordinated modules that reflect biological systems rather than isolated genes.</w:t>
      </w:r>
    </w:p>
    <w:p w14:paraId="7CC3BC1D" w14:textId="77777777" w:rsidR="00270FEB" w:rsidRDefault="00270FEB" w:rsidP="00270FEB">
      <w:pPr>
        <w:spacing w:after="0"/>
      </w:pPr>
    </w:p>
    <w:p w14:paraId="7C148E08" w14:textId="77777777" w:rsidR="00270FEB" w:rsidRDefault="00270FEB" w:rsidP="00270FEB">
      <w:pPr>
        <w:spacing w:after="0"/>
      </w:pPr>
      <w:r>
        <w:t>By combining them, we achieve both resolution and integration: DESeq2 pinpoints the molecular components, while WGCNA maps the architecture connecting them.</w:t>
      </w:r>
    </w:p>
    <w:p w14:paraId="3B99BF85" w14:textId="77777777" w:rsidR="00270FEB" w:rsidRDefault="00270FEB" w:rsidP="00270FEB">
      <w:pPr>
        <w:spacing w:after="0"/>
      </w:pPr>
      <w:r>
        <w:t>This dual perspective transforms lists of differentially expressed genes into interpretable biological narratives about system-wide aging.</w:t>
      </w:r>
    </w:p>
    <w:p w14:paraId="1455197A" w14:textId="77777777" w:rsidR="00270FEB" w:rsidRDefault="00270FEB" w:rsidP="00270FEB">
      <w:pPr>
        <w:spacing w:after="0"/>
      </w:pPr>
    </w:p>
    <w:p w14:paraId="1FBF0DBA" w14:textId="77777777" w:rsidR="00270FEB" w:rsidRPr="00721A30" w:rsidRDefault="00270FEB" w:rsidP="00270FEB">
      <w:pPr>
        <w:spacing w:after="0"/>
        <w:rPr>
          <w:b/>
          <w:bCs/>
        </w:rPr>
      </w:pPr>
      <w:r w:rsidRPr="00721A30">
        <w:rPr>
          <w:b/>
          <w:bCs/>
        </w:rPr>
        <w:t>4.2 Insights into Coordinated Aging and Brain Resilience</w:t>
      </w:r>
    </w:p>
    <w:p w14:paraId="7F7E5914" w14:textId="77777777" w:rsidR="00270FEB" w:rsidRDefault="00270FEB" w:rsidP="00270FEB">
      <w:pPr>
        <w:spacing w:after="0"/>
      </w:pPr>
      <w:r>
        <w:t>From a neuroscience perspective, the most compelling outcome of this study lies in demonstrating that the brain does not age in isolation.</w:t>
      </w:r>
    </w:p>
    <w:p w14:paraId="2D2C6388" w14:textId="77777777" w:rsidR="00270FEB" w:rsidRDefault="00270FEB" w:rsidP="00270FEB">
      <w:pPr>
        <w:spacing w:after="0"/>
      </w:pPr>
    </w:p>
    <w:p w14:paraId="1AF31746" w14:textId="77777777" w:rsidR="00270FEB" w:rsidRDefault="00270FEB" w:rsidP="00270FEB">
      <w:pPr>
        <w:spacing w:after="0"/>
      </w:pPr>
      <w:r>
        <w:t>If mitochondrial and inflammatory pathways are found to co-age across brain, heart, and blood, it strengthens the view that systemic metabolic and immune health directly modulate neural longevity. Conversely, identifying pathways that diverge between brain and periphery—such as synaptic signaling genes that decline only in the brain—can pinpoint processes unique to neural vulnerability.</w:t>
      </w:r>
    </w:p>
    <w:p w14:paraId="7AD09B1D" w14:textId="77777777" w:rsidR="00270FEB" w:rsidRDefault="00270FEB" w:rsidP="00270FEB">
      <w:pPr>
        <w:spacing w:after="0"/>
      </w:pPr>
    </w:p>
    <w:p w14:paraId="2FDB9AB4" w14:textId="77777777" w:rsidR="00270FEB" w:rsidRDefault="00270FEB" w:rsidP="00270FEB">
      <w:pPr>
        <w:spacing w:after="0"/>
      </w:pPr>
      <w:r>
        <w:t>These insights have implications for understanding neurodegenerative disease risk. For instance, mitochondrial dysfunction and lipid imbalance are early features of Alzheimer’s disease and also appear in aging heart tissue; discovering common molecular denominators could reveal targets for interventions that support both cardiovascular and neural health. Similarly, inflammation-driven modules conserved between blood and brain may provide accessible peripheral biomarkers for brain aging and cognitive decline.</w:t>
      </w:r>
    </w:p>
    <w:p w14:paraId="16CAA5EA" w14:textId="77777777" w:rsidR="00270FEB" w:rsidRDefault="00270FEB" w:rsidP="00270FEB">
      <w:pPr>
        <w:spacing w:after="0"/>
      </w:pPr>
    </w:p>
    <w:p w14:paraId="774BB029" w14:textId="77777777" w:rsidR="00270FEB" w:rsidRPr="00721A30" w:rsidRDefault="00270FEB" w:rsidP="00270FEB">
      <w:pPr>
        <w:spacing w:after="0"/>
        <w:rPr>
          <w:b/>
          <w:bCs/>
        </w:rPr>
      </w:pPr>
      <w:r w:rsidRPr="00721A30">
        <w:rPr>
          <w:b/>
          <w:bCs/>
        </w:rPr>
        <w:t>4.3 The Value of Open-Access Data and Rigorous Filtering</w:t>
      </w:r>
    </w:p>
    <w:p w14:paraId="2DB210E7" w14:textId="77777777" w:rsidR="00270FEB" w:rsidRDefault="00270FEB" w:rsidP="00270FEB">
      <w:pPr>
        <w:spacing w:after="0"/>
      </w:pPr>
      <w:r>
        <w:t xml:space="preserve">A critical methodological strength of this project is its use of only open-access GTEx fields, ensuring transparency and reproducibility. The stringent inclusion filters—Hardy 1–2, RIN &gt; </w:t>
      </w:r>
      <w:r>
        <w:lastRenderedPageBreak/>
        <w:t>5.7, short ischemic time—ensure that observed patterns represent biological aging rather than post-mortem artifacts. By prioritizing sample quality and cross-tissue pairing, the project improves interpretability and aligns with best practices in human transcriptomics.</w:t>
      </w:r>
    </w:p>
    <w:p w14:paraId="233F3913" w14:textId="77777777" w:rsidR="00270FEB" w:rsidRDefault="00270FEB" w:rsidP="00270FEB">
      <w:pPr>
        <w:spacing w:after="0"/>
      </w:pPr>
    </w:p>
    <w:p w14:paraId="4B7D487F" w14:textId="77777777" w:rsidR="00270FEB" w:rsidRDefault="00270FEB" w:rsidP="00270FEB">
      <w:pPr>
        <w:spacing w:after="0"/>
      </w:pPr>
      <w:r>
        <w:t>This approach also underscores how open data can be leveraged for original research questions that connect multiple systems biology perspectives. Every analysis step—FastQC, HISAT2, featureCounts, DESeq2, WGCNA—mirrors the tools introduced in the bioinformatics course, demonstrating mastery of both conceptual and computational proficiency.</w:t>
      </w:r>
    </w:p>
    <w:p w14:paraId="20530BA0" w14:textId="77777777" w:rsidR="00270FEB" w:rsidRDefault="00270FEB" w:rsidP="00270FEB">
      <w:pPr>
        <w:spacing w:after="0"/>
      </w:pPr>
    </w:p>
    <w:p w14:paraId="2CF1CAA6" w14:textId="77777777" w:rsidR="00270FEB" w:rsidRPr="00721A30" w:rsidRDefault="00270FEB" w:rsidP="00270FEB">
      <w:pPr>
        <w:spacing w:after="0"/>
        <w:rPr>
          <w:b/>
          <w:bCs/>
        </w:rPr>
      </w:pPr>
      <w:r w:rsidRPr="00721A30">
        <w:rPr>
          <w:b/>
          <w:bCs/>
        </w:rPr>
        <w:t>4.4 Limitations and Future Directions</w:t>
      </w:r>
    </w:p>
    <w:p w14:paraId="52F80DC2" w14:textId="77777777" w:rsidR="00270FEB" w:rsidRDefault="00270FEB" w:rsidP="00270FEB">
      <w:pPr>
        <w:spacing w:after="0"/>
      </w:pPr>
      <w:r>
        <w:t>Despite these strengths, several limitations should be acknowledged. First, GTEx RNA-seq data are bulk-tissue averages, obscuring cell-type heterogeneity. Future work could apply deconvolution methods or integrate single-cell RNA-seq data to resolve cell-specific aging trajectories.</w:t>
      </w:r>
    </w:p>
    <w:p w14:paraId="1134A1F2" w14:textId="77777777" w:rsidR="00270FEB" w:rsidRDefault="00270FEB" w:rsidP="00270FEB">
      <w:pPr>
        <w:spacing w:after="0"/>
      </w:pPr>
    </w:p>
    <w:p w14:paraId="2B358BEB" w14:textId="77777777" w:rsidR="00270FEB" w:rsidRDefault="00270FEB" w:rsidP="00270FEB">
      <w:pPr>
        <w:spacing w:after="0"/>
      </w:pPr>
      <w:r>
        <w:t>Second, this study is cross-sectional, meaning that correlations with age reflect population-level patterns rather than longitudinal change within individuals.</w:t>
      </w:r>
    </w:p>
    <w:p w14:paraId="40458964" w14:textId="77777777" w:rsidR="00270FEB" w:rsidRDefault="00270FEB" w:rsidP="00270FEB">
      <w:pPr>
        <w:spacing w:after="0"/>
      </w:pPr>
      <w:r>
        <w:t>Finally, although heart and blood represent major systemic compartments, extending the analysis to arterial tissue or skeletal muscle would capture additional axes of brain-body coupling, particularly the vascular contribution to neurodegenerative risk.</w:t>
      </w:r>
    </w:p>
    <w:p w14:paraId="46B4A50F" w14:textId="77777777" w:rsidR="00270FEB" w:rsidRDefault="00270FEB" w:rsidP="00270FEB">
      <w:pPr>
        <w:spacing w:after="0"/>
      </w:pPr>
    </w:p>
    <w:p w14:paraId="1B2D0139" w14:textId="77777777" w:rsidR="00270FEB" w:rsidRDefault="00270FEB" w:rsidP="00270FEB">
      <w:pPr>
        <w:spacing w:after="0"/>
      </w:pPr>
      <w:r>
        <w:t>Looking forward, the framework established here can be extended into Resilora, a broader model of coordinated brain-body aging that integrates transcriptomic, proteomic, and imaging markers. Such expansion would help translate computational findings into conceptual models of human resilience.</w:t>
      </w:r>
    </w:p>
    <w:p w14:paraId="2894BA34" w14:textId="77777777" w:rsidR="00270FEB" w:rsidRDefault="00270FEB" w:rsidP="00270FEB">
      <w:pPr>
        <w:spacing w:after="0"/>
      </w:pPr>
    </w:p>
    <w:p w14:paraId="6CB83634" w14:textId="77777777" w:rsidR="00270FEB" w:rsidRPr="00721A30" w:rsidRDefault="00270FEB" w:rsidP="00270FEB">
      <w:pPr>
        <w:spacing w:after="0"/>
        <w:rPr>
          <w:b/>
          <w:bCs/>
        </w:rPr>
      </w:pPr>
      <w:r w:rsidRPr="00721A30">
        <w:rPr>
          <w:b/>
          <w:bCs/>
        </w:rPr>
        <w:t>4.5 Conclusion</w:t>
      </w:r>
    </w:p>
    <w:p w14:paraId="72045682" w14:textId="77777777" w:rsidR="00270FEB" w:rsidRDefault="00270FEB" w:rsidP="00270FEB">
      <w:pPr>
        <w:spacing w:after="0"/>
      </w:pPr>
      <w:r>
        <w:t>This study proposes a robust and educationally grounded analysis of coordinated gene-expression aging across brain and peripheral tissues using GTEx v10. By combining DESeq2 and WGCNA within a rigorous, open-access, quality-controlled pipeline, the project demonstrates how foundational bioinformatics techniques can address complex neuroscience questions.</w:t>
      </w:r>
    </w:p>
    <w:p w14:paraId="2B77AF8A" w14:textId="77777777" w:rsidR="00270FEB" w:rsidRDefault="00270FEB" w:rsidP="00270FEB">
      <w:pPr>
        <w:spacing w:after="0"/>
      </w:pPr>
    </w:p>
    <w:p w14:paraId="299613C8" w14:textId="77777777" w:rsidR="00270FEB" w:rsidRDefault="00270FEB" w:rsidP="00270FEB">
      <w:pPr>
        <w:spacing w:after="0"/>
      </w:pPr>
      <w:r>
        <w:t xml:space="preserve">The results are expected to reveal both shared and distinct molecular trajectories of aging across organs, linking systemic physiological decline to brain resilience and cognitive health. Most importantly, the complementary integration of gene-level and network-level </w:t>
      </w:r>
      <w:r>
        <w:lastRenderedPageBreak/>
        <w:t>analyses exemplifies how computational biology transforms large-scale data into mechanistic insight about human aging.</w:t>
      </w:r>
    </w:p>
    <w:p w14:paraId="7D81A08A" w14:textId="77777777" w:rsidR="00270FEB" w:rsidRDefault="00270FEB" w:rsidP="00270FEB">
      <w:pPr>
        <w:spacing w:after="0"/>
      </w:pPr>
    </w:p>
    <w:p w14:paraId="70F8D9DF" w14:textId="77777777" w:rsidR="00270FEB" w:rsidRPr="00721A30" w:rsidRDefault="00270FEB" w:rsidP="00270FEB">
      <w:pPr>
        <w:spacing w:after="0"/>
        <w:rPr>
          <w:b/>
          <w:bCs/>
          <w:sz w:val="28"/>
          <w:szCs w:val="28"/>
        </w:rPr>
      </w:pPr>
      <w:r w:rsidRPr="00721A30">
        <w:rPr>
          <w:b/>
          <w:bCs/>
          <w:sz w:val="28"/>
          <w:szCs w:val="28"/>
        </w:rPr>
        <w:t>5. References</w:t>
      </w:r>
    </w:p>
    <w:p w14:paraId="15CB3713" w14:textId="77777777" w:rsidR="00270FEB" w:rsidRDefault="00270FEB" w:rsidP="00270FEB">
      <w:pPr>
        <w:spacing w:after="0"/>
      </w:pPr>
      <w:r>
        <w:t>Briller, D., Chen, M., &amp; Li, Y. (2025). A computational framework for detecting inter-tissue gene-expression coordination changes with aging. Scientific Reports. https://www.nature.com/articles/s41598-025-94043-9</w:t>
      </w:r>
    </w:p>
    <w:p w14:paraId="300C9F82" w14:textId="77777777" w:rsidR="00270FEB" w:rsidRDefault="00270FEB" w:rsidP="00270FEB">
      <w:pPr>
        <w:spacing w:after="0"/>
      </w:pPr>
    </w:p>
    <w:p w14:paraId="6F4FFC44" w14:textId="77777777" w:rsidR="00270FEB" w:rsidRDefault="00270FEB" w:rsidP="00270FEB">
      <w:pPr>
        <w:spacing w:after="0"/>
      </w:pPr>
      <w:r>
        <w:t>Cunningham, C., &amp; Hennessy, E. (2015). Microglia and neuroinflammation in neurodegenerative disease. Alzheimer’s Research &amp; Therapy, 7(1), 54. https://doi.org/10.1186/s13195-015-0133-6</w:t>
      </w:r>
    </w:p>
    <w:p w14:paraId="6A8DA5D3" w14:textId="77777777" w:rsidR="00270FEB" w:rsidRDefault="00270FEB" w:rsidP="00270FEB">
      <w:pPr>
        <w:spacing w:after="0"/>
      </w:pPr>
    </w:p>
    <w:p w14:paraId="571F89DC" w14:textId="77777777" w:rsidR="00270FEB" w:rsidRDefault="00270FEB" w:rsidP="00270FEB">
      <w:pPr>
        <w:spacing w:after="0"/>
      </w:pPr>
      <w:r>
        <w:t>GTEx Consortium. (2020). The GTEx transcriptomic landscape of human tissues. Science, 369(6509), 1318–1330. https://doi.org/10.1126/science.aaz1776</w:t>
      </w:r>
    </w:p>
    <w:p w14:paraId="6FF8A093" w14:textId="77777777" w:rsidR="00270FEB" w:rsidRDefault="00270FEB" w:rsidP="00270FEB">
      <w:pPr>
        <w:spacing w:after="0"/>
      </w:pPr>
    </w:p>
    <w:p w14:paraId="30351792" w14:textId="77777777" w:rsidR="00270FEB" w:rsidRDefault="00270FEB" w:rsidP="00270FEB">
      <w:pPr>
        <w:spacing w:after="0"/>
      </w:pPr>
      <w:r>
        <w:t xml:space="preserve">Izgi, H., Sanchez, K., &amp; van Heerden, A. (2022). Pan-tissue transcriptome analysis reveals sex-dimorphic human aging. </w:t>
      </w:r>
      <w:proofErr w:type="spellStart"/>
      <w:r>
        <w:t>eLife</w:t>
      </w:r>
      <w:proofErr w:type="spellEnd"/>
      <w:r>
        <w:t>, 11, e102449. https://doi.org/10.7554/eLife.102449</w:t>
      </w:r>
    </w:p>
    <w:p w14:paraId="7FD612BA" w14:textId="77777777" w:rsidR="00270FEB" w:rsidRDefault="00270FEB" w:rsidP="00270FEB">
      <w:pPr>
        <w:spacing w:after="0"/>
      </w:pPr>
    </w:p>
    <w:p w14:paraId="52996FD7" w14:textId="77777777" w:rsidR="00270FEB" w:rsidRDefault="00270FEB" w:rsidP="00270FEB">
      <w:pPr>
        <w:spacing w:after="0"/>
      </w:pPr>
      <w:r>
        <w:t>Oh, J., Choi, E., &amp; Lee, S. (2023). Organ-specific plasma proteome aging signatures and systemic predictors of cognitive decline. Nature, 619, 312-326. https://doi.org/10.1038/s41586-023-06349-z</w:t>
      </w:r>
    </w:p>
    <w:p w14:paraId="63647820" w14:textId="77777777" w:rsidR="00270FEB" w:rsidRDefault="00270FEB" w:rsidP="00270FEB">
      <w:pPr>
        <w:spacing w:after="0"/>
      </w:pPr>
    </w:p>
    <w:p w14:paraId="2061487B" w14:textId="77777777" w:rsidR="00270FEB" w:rsidRDefault="00270FEB" w:rsidP="00270FEB">
      <w:pPr>
        <w:spacing w:after="0"/>
      </w:pPr>
      <w:r>
        <w:t>Tan, L., Gao, Y., &amp; Zhou, J. (2023). Peripheral inflammation and brain aging: mechanisms and biomarkers. Frontiers in Aging Neuroscience, 15, 1134. https://doi.org/10.3389/fnagi.2023.01134</w:t>
      </w:r>
    </w:p>
    <w:p w14:paraId="4F265CE4" w14:textId="77777777" w:rsidR="00270FEB" w:rsidRDefault="00270FEB" w:rsidP="00270FEB">
      <w:pPr>
        <w:spacing w:after="0"/>
      </w:pPr>
    </w:p>
    <w:p w14:paraId="0DC6783D" w14:textId="77777777" w:rsidR="00270FEB" w:rsidRDefault="00270FEB" w:rsidP="00270FEB">
      <w:pPr>
        <w:spacing w:after="0"/>
      </w:pPr>
      <w:r>
        <w:t>Yang, J., Huang, T., &amp; Zhou, L. (2015). Synchronized age-related gene-expression changes across multiple tissues in humans. Scientific Reports, 5, 13389. https://doi.org/10.1038/srep13389</w:t>
      </w:r>
    </w:p>
    <w:p w14:paraId="11FF74BC" w14:textId="77777777" w:rsidR="00270FEB" w:rsidRDefault="00270FEB" w:rsidP="00270FEB">
      <w:pPr>
        <w:spacing w:after="0"/>
      </w:pPr>
    </w:p>
    <w:p w14:paraId="5297B995" w14:textId="103E8C57" w:rsidR="00270FEB" w:rsidRDefault="00270FEB" w:rsidP="00C711C3"/>
    <w:p w14:paraId="529023ED" w14:textId="77777777" w:rsidR="00A150D7" w:rsidRDefault="00A150D7">
      <w:pPr>
        <w:rPr>
          <w:b/>
          <w:bCs/>
          <w:sz w:val="28"/>
          <w:szCs w:val="28"/>
        </w:rPr>
      </w:pPr>
      <w:r>
        <w:rPr>
          <w:b/>
          <w:bCs/>
          <w:sz w:val="28"/>
          <w:szCs w:val="28"/>
        </w:rPr>
        <w:br w:type="page"/>
      </w:r>
    </w:p>
    <w:p w14:paraId="511FAB6B" w14:textId="29A198C6" w:rsidR="00450F2A" w:rsidRPr="00721A30" w:rsidRDefault="00C711C3" w:rsidP="00270FEB">
      <w:pPr>
        <w:spacing w:after="0"/>
        <w:rPr>
          <w:b/>
          <w:bCs/>
        </w:rPr>
      </w:pPr>
      <w:r>
        <w:rPr>
          <w:b/>
          <w:bCs/>
          <w:sz w:val="28"/>
          <w:szCs w:val="28"/>
        </w:rPr>
        <w:lastRenderedPageBreak/>
        <w:t>6</w:t>
      </w:r>
      <w:r w:rsidR="00721A30" w:rsidRPr="00721A30">
        <w:rPr>
          <w:b/>
          <w:bCs/>
          <w:sz w:val="28"/>
          <w:szCs w:val="28"/>
        </w:rPr>
        <w:t xml:space="preserve">. </w:t>
      </w:r>
      <w:r w:rsidR="00270FEB" w:rsidRPr="00721A30">
        <w:rPr>
          <w:b/>
          <w:bCs/>
          <w:sz w:val="28"/>
          <w:szCs w:val="28"/>
        </w:rPr>
        <w:t>Closing Notes</w:t>
      </w:r>
    </w:p>
    <w:p w14:paraId="31A17A47" w14:textId="77777777" w:rsidR="00270FEB" w:rsidRDefault="00270FEB" w:rsidP="00270FEB">
      <w:pPr>
        <w:spacing w:after="0"/>
      </w:pPr>
      <w:r>
        <w:t>This proposal establishes a complete, open-access, and reproducible bioinformatics framework to explore coordinated gene-expression aging between brain and peripheral tissues. It synthesizes two foundational computational paradigms—DESeq2 for quantitative differential analysis and WGCNA for network-level integration—within the context of human neuroscience.</w:t>
      </w:r>
    </w:p>
    <w:p w14:paraId="1ADCCFA2" w14:textId="77777777" w:rsidR="00270FEB" w:rsidRDefault="00270FEB" w:rsidP="00270FEB">
      <w:pPr>
        <w:spacing w:after="0"/>
      </w:pPr>
    </w:p>
    <w:p w14:paraId="24164B87" w14:textId="77777777" w:rsidR="00270FEB" w:rsidRDefault="00270FEB" w:rsidP="00270FEB">
      <w:pPr>
        <w:spacing w:after="0"/>
      </w:pPr>
      <w:r>
        <w:t>The document serves dual purposes:</w:t>
      </w:r>
    </w:p>
    <w:p w14:paraId="065C2D13" w14:textId="77777777" w:rsidR="00270FEB" w:rsidRDefault="00270FEB" w:rsidP="00270FEB">
      <w:pPr>
        <w:spacing w:after="0"/>
      </w:pPr>
    </w:p>
    <w:p w14:paraId="1939D9C4" w14:textId="4B40E6F6" w:rsidR="00270FEB" w:rsidRDefault="00721A30" w:rsidP="00270FEB">
      <w:pPr>
        <w:spacing w:after="0"/>
      </w:pPr>
      <w:r w:rsidRPr="00721A30">
        <w:rPr>
          <w:b/>
          <w:bCs/>
        </w:rPr>
        <w:t xml:space="preserve">1. </w:t>
      </w:r>
      <w:r w:rsidR="00270FEB" w:rsidRPr="00721A30">
        <w:rPr>
          <w:b/>
          <w:bCs/>
        </w:rPr>
        <w:t>Execution Guide:</w:t>
      </w:r>
      <w:r w:rsidR="00270FEB">
        <w:t xml:space="preserve"> Each method is presented with sufficient procedural and code detail for immediate implementation in R and Python notebooks using GTEx v10 raw count data.</w:t>
      </w:r>
    </w:p>
    <w:p w14:paraId="5B63FFF4" w14:textId="77777777" w:rsidR="00270FEB" w:rsidRDefault="00270FEB" w:rsidP="00270FEB">
      <w:pPr>
        <w:spacing w:after="0"/>
      </w:pPr>
    </w:p>
    <w:p w14:paraId="265F25FC" w14:textId="070B1849" w:rsidR="00270FEB" w:rsidRDefault="00721A30" w:rsidP="00270FEB">
      <w:pPr>
        <w:spacing w:after="0"/>
      </w:pPr>
      <w:r w:rsidRPr="00721A30">
        <w:rPr>
          <w:b/>
          <w:bCs/>
        </w:rPr>
        <w:t xml:space="preserve">2. </w:t>
      </w:r>
      <w:r w:rsidR="00270FEB" w:rsidRPr="00721A30">
        <w:rPr>
          <w:b/>
          <w:bCs/>
        </w:rPr>
        <w:t>Publication-Ready Narrative:</w:t>
      </w:r>
      <w:r w:rsidR="00270FEB">
        <w:t xml:space="preserve"> When empirical results are inserted, this text transitions seamlessly into a final paper meeting all course and scholarly standards.</w:t>
      </w:r>
    </w:p>
    <w:p w14:paraId="2B40EF11" w14:textId="77777777" w:rsidR="00270FEB" w:rsidRDefault="00270FEB" w:rsidP="00270FEB">
      <w:pPr>
        <w:spacing w:after="0"/>
      </w:pPr>
    </w:p>
    <w:p w14:paraId="11143AC6" w14:textId="752033B1" w:rsidR="00270FEB" w:rsidRDefault="00270FEB" w:rsidP="00270FEB">
      <w:pPr>
        <w:spacing w:after="0"/>
      </w:pPr>
      <w:r>
        <w:t>By uniting precision (Pipeline A) and systems context (Pipeline B), the study illustrates how computational biology can map the molecular architecture linking systemic physiological aging to brain resilience—a theme central to both modern bioinformatics education and translational neuroscience.</w:t>
      </w:r>
    </w:p>
    <w:p w14:paraId="5BC7F4A7" w14:textId="77777777" w:rsidR="002634F5" w:rsidRDefault="002634F5" w:rsidP="00270FEB">
      <w:pPr>
        <w:spacing w:after="0"/>
      </w:pPr>
    </w:p>
    <w:p w14:paraId="5419CBD1" w14:textId="7CACFD1E" w:rsidR="002634F5" w:rsidRDefault="002634F5">
      <w:r>
        <w:br w:type="page"/>
      </w:r>
    </w:p>
    <w:p w14:paraId="13777331" w14:textId="63007650" w:rsidR="002634F5" w:rsidRDefault="002634F5" w:rsidP="00270FEB">
      <w:pPr>
        <w:spacing w:after="0"/>
      </w:pPr>
      <w:r w:rsidRPr="002634F5">
        <w:rPr>
          <w:noProof/>
        </w:rPr>
        <w:lastRenderedPageBreak/>
        <w:drawing>
          <wp:inline distT="0" distB="0" distL="0" distR="0" wp14:anchorId="23C7B3C8" wp14:editId="58698B7D">
            <wp:extent cx="5943600" cy="5928360"/>
            <wp:effectExtent l="0" t="0" r="0" b="0"/>
            <wp:docPr id="950128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28825" name="Picture 1" descr="A screenshot of a computer&#10;&#10;AI-generated content may be incorrect."/>
                    <pic:cNvPicPr/>
                  </pic:nvPicPr>
                  <pic:blipFill>
                    <a:blip r:embed="rId6"/>
                    <a:stretch>
                      <a:fillRect/>
                    </a:stretch>
                  </pic:blipFill>
                  <pic:spPr>
                    <a:xfrm>
                      <a:off x="0" y="0"/>
                      <a:ext cx="5943600" cy="5928360"/>
                    </a:xfrm>
                    <a:prstGeom prst="rect">
                      <a:avLst/>
                    </a:prstGeom>
                  </pic:spPr>
                </pic:pic>
              </a:graphicData>
            </a:graphic>
          </wp:inline>
        </w:drawing>
      </w:r>
    </w:p>
    <w:p w14:paraId="4D54FB8C" w14:textId="504310E3" w:rsidR="00B01CCF" w:rsidRDefault="00B01CCF" w:rsidP="00270FEB">
      <w:pPr>
        <w:spacing w:after="0"/>
      </w:pPr>
      <w:r>
        <w:rPr>
          <w:noProof/>
        </w:rPr>
        <w:lastRenderedPageBreak/>
        <w:drawing>
          <wp:inline distT="0" distB="0" distL="0" distR="0" wp14:anchorId="37EBA4F0" wp14:editId="2B210473">
            <wp:extent cx="5334000" cy="3958139"/>
            <wp:effectExtent l="0" t="0" r="0" b="0"/>
            <wp:docPr id="47" name="Picture" descr="A diagram of different types of aging&#10;&#10;AI-generated content may be incorrect."/>
            <wp:cNvGraphicFramePr/>
            <a:graphic xmlns:a="http://schemas.openxmlformats.org/drawingml/2006/main">
              <a:graphicData uri="http://schemas.openxmlformats.org/drawingml/2006/picture">
                <pic:pic xmlns:pic="http://schemas.openxmlformats.org/drawingml/2006/picture">
                  <pic:nvPicPr>
                    <pic:cNvPr id="47" name="Picture" descr="A diagram of different types of aging&#10;&#10;AI-generated content may be incorrect."/>
                    <pic:cNvPicPr>
                      <a:picLocks noChangeAspect="1" noChangeArrowheads="1"/>
                    </pic:cNvPicPr>
                  </pic:nvPicPr>
                  <pic:blipFill>
                    <a:blip r:embed="rId7"/>
                    <a:stretch>
                      <a:fillRect/>
                    </a:stretch>
                  </pic:blipFill>
                  <pic:spPr bwMode="auto">
                    <a:xfrm>
                      <a:off x="0" y="0"/>
                      <a:ext cx="5334000" cy="3958139"/>
                    </a:xfrm>
                    <a:prstGeom prst="rect">
                      <a:avLst/>
                    </a:prstGeom>
                    <a:noFill/>
                    <a:ln w="9525">
                      <a:noFill/>
                      <a:headEnd/>
                      <a:tailEnd/>
                    </a:ln>
                  </pic:spPr>
                </pic:pic>
              </a:graphicData>
            </a:graphic>
          </wp:inline>
        </w:drawing>
      </w:r>
    </w:p>
    <w:sectPr w:rsidR="00B01CCF" w:rsidSect="007C6FB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4E378" w14:textId="77777777" w:rsidR="000E2556" w:rsidRDefault="000E2556" w:rsidP="007C6FB5">
      <w:pPr>
        <w:spacing w:after="0" w:line="240" w:lineRule="auto"/>
      </w:pPr>
      <w:r>
        <w:separator/>
      </w:r>
    </w:p>
  </w:endnote>
  <w:endnote w:type="continuationSeparator" w:id="0">
    <w:p w14:paraId="4075577F" w14:textId="77777777" w:rsidR="000E2556" w:rsidRDefault="000E2556" w:rsidP="007C6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7B16" w14:textId="77777777" w:rsidR="00046D58" w:rsidRDefault="00046D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F945" w14:textId="4006E06B" w:rsidR="007C6FB5" w:rsidRDefault="007C6FB5" w:rsidP="007C6FB5">
    <w:pPr>
      <w:spacing w:after="0"/>
    </w:pPr>
    <w:r>
      <w:t>BIOT E-104 Bioinformatics | Final Paper</w:t>
    </w:r>
    <w:r>
      <w:tab/>
    </w:r>
    <w:r>
      <w:tab/>
    </w:r>
    <w:r>
      <w:tab/>
    </w:r>
    <w:r>
      <w:tab/>
    </w:r>
    <w:r>
      <w:tab/>
    </w:r>
    <w:r>
      <w:tab/>
      <w:t xml:space="preserve">  Page </w:t>
    </w:r>
    <w:r>
      <w:fldChar w:fldCharType="begin"/>
    </w:r>
    <w:r>
      <w:instrText xml:space="preserve"> PAGE   \* MERGEFORMAT </w:instrText>
    </w:r>
    <w:r>
      <w:fldChar w:fldCharType="separate"/>
    </w:r>
    <w:r>
      <w:rPr>
        <w:noProof/>
      </w:rPr>
      <w:t>1</w:t>
    </w:r>
    <w:r>
      <w:rPr>
        <w:noProof/>
      </w:rPr>
      <w:fldChar w:fldCharType="end"/>
    </w:r>
    <w:r>
      <w:rPr>
        <w:noProof/>
      </w:rPr>
      <w:t xml:space="preserve"> of 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46D3" w14:textId="77777777" w:rsidR="00046D58" w:rsidRDefault="00046D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E2159" w14:textId="77777777" w:rsidR="000E2556" w:rsidRDefault="000E2556" w:rsidP="007C6FB5">
      <w:pPr>
        <w:spacing w:after="0" w:line="240" w:lineRule="auto"/>
      </w:pPr>
      <w:r>
        <w:separator/>
      </w:r>
    </w:p>
  </w:footnote>
  <w:footnote w:type="continuationSeparator" w:id="0">
    <w:p w14:paraId="6195A7A4" w14:textId="77777777" w:rsidR="000E2556" w:rsidRDefault="000E2556" w:rsidP="007C6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6C35" w14:textId="77777777" w:rsidR="00046D58" w:rsidRDefault="00046D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CA6D" w14:textId="41D267E3" w:rsidR="007C6FB5" w:rsidRDefault="007C6FB5">
    <w:pPr>
      <w:pStyle w:val="Header"/>
    </w:pPr>
    <w:r>
      <w:ptab w:relativeTo="margin" w:alignment="center" w:leader="none"/>
    </w:r>
    <w:r>
      <w:ptab w:relativeTo="margin" w:alignment="right" w:leader="none"/>
    </w:r>
    <w:r>
      <w:t>Jennifer Reed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672333"/>
      <w:docPartObj>
        <w:docPartGallery w:val="Watermarks"/>
        <w:docPartUnique/>
      </w:docPartObj>
    </w:sdtPr>
    <w:sdtContent>
      <w:p w14:paraId="7F2C15E3" w14:textId="36EF9011" w:rsidR="00046D58" w:rsidRDefault="00046D58">
        <w:pPr>
          <w:pStyle w:val="Header"/>
        </w:pPr>
        <w:r>
          <w:rPr>
            <w:noProof/>
          </w:rPr>
          <w:pict w14:anchorId="3196C1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0B"/>
    <w:rsid w:val="00046D58"/>
    <w:rsid w:val="000C2BB6"/>
    <w:rsid w:val="000E2556"/>
    <w:rsid w:val="000E3941"/>
    <w:rsid w:val="001A7EF9"/>
    <w:rsid w:val="002634F5"/>
    <w:rsid w:val="00270FEB"/>
    <w:rsid w:val="003046F0"/>
    <w:rsid w:val="003B0CD1"/>
    <w:rsid w:val="00450F2A"/>
    <w:rsid w:val="004D22B1"/>
    <w:rsid w:val="00584712"/>
    <w:rsid w:val="00643ADF"/>
    <w:rsid w:val="00721A30"/>
    <w:rsid w:val="007C6FB5"/>
    <w:rsid w:val="00992630"/>
    <w:rsid w:val="00A150D7"/>
    <w:rsid w:val="00A67C0B"/>
    <w:rsid w:val="00B01CCF"/>
    <w:rsid w:val="00BA3DEA"/>
    <w:rsid w:val="00BB3EC2"/>
    <w:rsid w:val="00C711C3"/>
    <w:rsid w:val="00C7390D"/>
    <w:rsid w:val="00CE2AEE"/>
    <w:rsid w:val="00DB1785"/>
    <w:rsid w:val="00DD6333"/>
    <w:rsid w:val="00F57385"/>
    <w:rsid w:val="00FC5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5A5A9"/>
  <w15:chartTrackingRefBased/>
  <w15:docId w15:val="{9B3C7BF2-3C55-4972-8B4D-984E9C74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0B"/>
    <w:rPr>
      <w:rFonts w:eastAsiaTheme="majorEastAsia" w:cstheme="majorBidi"/>
      <w:color w:val="272727" w:themeColor="text1" w:themeTint="D8"/>
    </w:rPr>
  </w:style>
  <w:style w:type="paragraph" w:styleId="Title">
    <w:name w:val="Title"/>
    <w:basedOn w:val="Normal"/>
    <w:next w:val="Normal"/>
    <w:link w:val="TitleChar"/>
    <w:uiPriority w:val="10"/>
    <w:qFormat/>
    <w:rsid w:val="00A67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C0B"/>
    <w:pPr>
      <w:spacing w:before="160"/>
      <w:jc w:val="center"/>
    </w:pPr>
    <w:rPr>
      <w:i/>
      <w:iCs/>
      <w:color w:val="404040" w:themeColor="text1" w:themeTint="BF"/>
    </w:rPr>
  </w:style>
  <w:style w:type="character" w:customStyle="1" w:styleId="QuoteChar">
    <w:name w:val="Quote Char"/>
    <w:basedOn w:val="DefaultParagraphFont"/>
    <w:link w:val="Quote"/>
    <w:uiPriority w:val="29"/>
    <w:rsid w:val="00A67C0B"/>
    <w:rPr>
      <w:i/>
      <w:iCs/>
      <w:color w:val="404040" w:themeColor="text1" w:themeTint="BF"/>
    </w:rPr>
  </w:style>
  <w:style w:type="paragraph" w:styleId="ListParagraph">
    <w:name w:val="List Paragraph"/>
    <w:basedOn w:val="Normal"/>
    <w:uiPriority w:val="34"/>
    <w:qFormat/>
    <w:rsid w:val="00A67C0B"/>
    <w:pPr>
      <w:ind w:left="720"/>
      <w:contextualSpacing/>
    </w:pPr>
  </w:style>
  <w:style w:type="character" w:styleId="IntenseEmphasis">
    <w:name w:val="Intense Emphasis"/>
    <w:basedOn w:val="DefaultParagraphFont"/>
    <w:uiPriority w:val="21"/>
    <w:qFormat/>
    <w:rsid w:val="00A67C0B"/>
    <w:rPr>
      <w:i/>
      <w:iCs/>
      <w:color w:val="0F4761" w:themeColor="accent1" w:themeShade="BF"/>
    </w:rPr>
  </w:style>
  <w:style w:type="paragraph" w:styleId="IntenseQuote">
    <w:name w:val="Intense Quote"/>
    <w:basedOn w:val="Normal"/>
    <w:next w:val="Normal"/>
    <w:link w:val="IntenseQuoteChar"/>
    <w:uiPriority w:val="30"/>
    <w:qFormat/>
    <w:rsid w:val="00A67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C0B"/>
    <w:rPr>
      <w:i/>
      <w:iCs/>
      <w:color w:val="0F4761" w:themeColor="accent1" w:themeShade="BF"/>
    </w:rPr>
  </w:style>
  <w:style w:type="character" w:styleId="IntenseReference">
    <w:name w:val="Intense Reference"/>
    <w:basedOn w:val="DefaultParagraphFont"/>
    <w:uiPriority w:val="32"/>
    <w:qFormat/>
    <w:rsid w:val="00A67C0B"/>
    <w:rPr>
      <w:b/>
      <w:bCs/>
      <w:smallCaps/>
      <w:color w:val="0F4761" w:themeColor="accent1" w:themeShade="BF"/>
      <w:spacing w:val="5"/>
    </w:rPr>
  </w:style>
  <w:style w:type="paragraph" w:styleId="Header">
    <w:name w:val="header"/>
    <w:basedOn w:val="Normal"/>
    <w:link w:val="HeaderChar"/>
    <w:uiPriority w:val="99"/>
    <w:unhideWhenUsed/>
    <w:rsid w:val="007C6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FB5"/>
  </w:style>
  <w:style w:type="paragraph" w:styleId="Footer">
    <w:name w:val="footer"/>
    <w:basedOn w:val="Normal"/>
    <w:link w:val="FooterChar"/>
    <w:uiPriority w:val="99"/>
    <w:unhideWhenUsed/>
    <w:rsid w:val="007C6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18</Pages>
  <Words>4000</Words>
  <Characters>27007</Characters>
  <Application>Microsoft Office Word</Application>
  <DocSecurity>0</DocSecurity>
  <Lines>600</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Reed</dc:creator>
  <cp:keywords/>
  <dc:description/>
  <cp:lastModifiedBy>Jennifer Reed</cp:lastModifiedBy>
  <cp:revision>21</cp:revision>
  <cp:lastPrinted>2025-12-15T12:59:00Z</cp:lastPrinted>
  <dcterms:created xsi:type="dcterms:W3CDTF">2025-12-15T07:44:00Z</dcterms:created>
  <dcterms:modified xsi:type="dcterms:W3CDTF">2025-12-15T13:24:00Z</dcterms:modified>
</cp:coreProperties>
</file>