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b/>
          <w:color w:val="B8941F"/>
          <w:sz w:val="32"/>
        </w:rPr>
        <w:t>ACUERDO DE CONFIDENCIALIDAD (NDA)</w:t>
      </w:r>
    </w:p>
    <w:p>
      <w:pPr>
        <w:spacing w:after="280"/>
        <w:jc w:val="center"/>
      </w:pPr>
      <w:r>
        <w:rPr>
          <w:b w:val="0"/>
          <w:i/>
          <w:color w:val="55555C"/>
          <w:sz w:val="22"/>
        </w:rPr>
        <w:t>Programa Re-Génesis (Código del Alma) · Neurohackers LLC</w:t>
      </w:r>
    </w:p>
    <w:p>
      <w:pPr>
        <w:spacing w:after="280"/>
      </w:pPr>
      <w:r>
        <w:rPr>
          <w:b/>
          <w:i w:val="0"/>
          <w:sz w:val="22"/>
        </w:rPr>
        <w:t>IMPORTANTE: AL FIRMAR ESTE ACUERDO, USTED ASUME OBLIGACIONES LEGALES DE CONFIDENCIALIDAD QUE PERSISTEN INCLUSO DESPUÉS DE TERMINAR SU PARTICIPACIÓN EN EL PROGRAMA.</w:t>
      </w:r>
    </w:p>
    <w:p>
      <w:pPr>
        <w:spacing w:after="120" w:before="240"/>
        <w:jc w:val="left"/>
      </w:pPr>
      <w:r>
        <w:rPr>
          <w:b/>
          <w:color w:val="B8941F"/>
          <w:sz w:val="26"/>
        </w:rPr>
        <w:t>DATOS DEL PARTICIPANTE</w:t>
      </w:r>
    </w:p>
    <w:p>
      <w:pPr>
        <w:spacing w:after="200"/>
      </w:pPr>
      <w:r>
        <w:rPr>
          <w:b w:val="0"/>
          <w:i/>
          <w:color w:val="55555C"/>
          <w:sz w:val="20"/>
        </w:rPr>
        <w:t>Por favor completa todos los campos antes de continuar. La información aquí registrada es vinculante para los términos de este documento.</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Fecha de nacimiento (DD/MM/AAAA): </w:t>
      </w:r>
      <w:r>
        <w:rPr>
          <w:sz w:val="22"/>
        </w:rPr>
        <w:t>____________________________________________________________</w:t>
      </w:r>
    </w:p>
    <w:p>
      <w:pPr>
        <w:spacing w:after="160"/>
      </w:pPr>
      <w:r>
        <w:rPr>
          <w:b/>
          <w:sz w:val="22"/>
        </w:rPr>
        <w:t xml:space="preserve">Documento de identidad (ID estatal / pasaporte / cédula): </w:t>
      </w:r>
      <w:r>
        <w:rPr>
          <w:sz w:val="22"/>
        </w:rPr>
        <w:t>____________________________________________________________</w:t>
      </w:r>
    </w:p>
    <w:p>
      <w:pPr>
        <w:spacing w:after="160"/>
      </w:pPr>
      <w:r>
        <w:rPr>
          <w:b/>
          <w:sz w:val="22"/>
        </w:rPr>
        <w:t xml:space="preserve">Número del documento: </w:t>
      </w:r>
      <w:r>
        <w:rPr>
          <w:sz w:val="22"/>
        </w:rPr>
        <w:t>____________________________________________________________</w:t>
      </w:r>
    </w:p>
    <w:p>
      <w:pPr>
        <w:spacing w:after="160"/>
      </w:pPr>
      <w:r>
        <w:rPr>
          <w:b/>
          <w:sz w:val="22"/>
        </w:rPr>
        <w:t xml:space="preserve">País de emisión del documento: </w:t>
      </w:r>
      <w:r>
        <w:rPr>
          <w:sz w:val="22"/>
        </w:rPr>
        <w:t>____________________________________________________________</w:t>
      </w:r>
    </w:p>
    <w:p>
      <w:pPr>
        <w:spacing w:after="160"/>
      </w:pPr>
      <w:r>
        <w:rPr>
          <w:b/>
          <w:sz w:val="22"/>
        </w:rPr>
        <w:t xml:space="preserve">Correo electrónico: </w:t>
      </w:r>
      <w:r>
        <w:rPr>
          <w:sz w:val="22"/>
        </w:rPr>
        <w:t>____________________________________________________________</w:t>
      </w:r>
    </w:p>
    <w:p>
      <w:pPr>
        <w:spacing w:after="160"/>
      </w:pPr>
      <w:r>
        <w:rPr>
          <w:b/>
          <w:sz w:val="22"/>
        </w:rPr>
        <w:t xml:space="preserve">Teléfono (con código de país): </w:t>
      </w:r>
      <w:r>
        <w:rPr>
          <w:sz w:val="22"/>
        </w:rPr>
        <w:t>____________________________________________________________</w:t>
      </w:r>
    </w:p>
    <w:p>
      <w:pPr>
        <w:spacing w:after="160"/>
      </w:pPr>
      <w:r>
        <w:rPr>
          <w:b/>
          <w:sz w:val="22"/>
        </w:rPr>
        <w:t xml:space="preserve">Dirección de residencia: </w:t>
      </w:r>
      <w:r>
        <w:rPr>
          <w:sz w:val="22"/>
        </w:rPr>
        <w:t>____________________________________________________________</w:t>
      </w:r>
    </w:p>
    <w:p>
      <w:pPr>
        <w:spacing w:after="120" w:before="240"/>
        <w:jc w:val="left"/>
      </w:pPr>
      <w:r>
        <w:rPr>
          <w:b/>
          <w:color w:val="B8941F"/>
          <w:sz w:val="26"/>
        </w:rPr>
        <w:t>1. PARTES Y CONTEXTO</w:t>
      </w:r>
    </w:p>
    <w:p>
      <w:pPr>
        <w:spacing w:after="120"/>
      </w:pPr>
      <w:r>
        <w:rPr>
          <w:b w:val="0"/>
          <w:i w:val="0"/>
          <w:sz w:val="22"/>
        </w:rPr>
        <w:t>Este Acuerdo de Confidencialidad (el "Acuerdo" o "NDA") se celebra entre NEUROHACKERS LLC (en adelante, la "Compañía"), entidad organizada bajo las leyes del Estado de Florida, EE. UU., y el Participante identificado en la sección "DATOS DEL PARTICIPANTE" arriba, en el marco de su participación en el programa Re-Génesis (Código del Alma) — en adelante, el "Programa".</w:t>
      </w:r>
    </w:p>
    <w:p>
      <w:pPr>
        <w:spacing w:after="120" w:before="240"/>
        <w:jc w:val="left"/>
      </w:pPr>
      <w:r>
        <w:rPr>
          <w:b/>
          <w:color w:val="B8941F"/>
          <w:sz w:val="26"/>
        </w:rPr>
        <w:t>2. INFORMACIÓN CONFIDENCIAL</w:t>
      </w:r>
    </w:p>
    <w:p>
      <w:pPr>
        <w:spacing w:after="120"/>
      </w:pPr>
      <w:r>
        <w:rPr>
          <w:b w:val="0"/>
          <w:i w:val="0"/>
          <w:sz w:val="22"/>
        </w:rPr>
        <w:t>Para efectos de este Acuerdo, "Información Confidencial" significa toda información compartida por la Compañía, sus facilitadores (incluyendo, sin limitar, a Frank Ruiz y Tatiana Rojas) o por otros participantes, que no sea de dominio público, e incluye —sin limitarse a— lo siguiente:</w:t>
      </w:r>
    </w:p>
    <w:p>
      <w:pPr>
        <w:pStyle w:val="ListBullet"/>
        <w:spacing w:after="80"/>
      </w:pPr>
      <w:r>
        <w:rPr>
          <w:sz w:val="22"/>
        </w:rPr>
        <w:t>Metodología, contenidos, ejercicios, dinámicas y secuencia de los 70 días del Programa.</w:t>
      </w:r>
    </w:p>
    <w:p>
      <w:pPr>
        <w:pStyle w:val="ListBullet"/>
        <w:spacing w:after="80"/>
      </w:pPr>
      <w:r>
        <w:rPr>
          <w:sz w:val="22"/>
        </w:rPr>
        <w:t>Materiales escritos, audiovisuales, audio, manuales, presentaciones y herramientas digitales del Programa.</w:t>
      </w:r>
    </w:p>
    <w:p>
      <w:pPr>
        <w:pStyle w:val="ListBullet"/>
        <w:spacing w:after="80"/>
      </w:pPr>
      <w:r>
        <w:rPr>
          <w:sz w:val="22"/>
        </w:rPr>
        <w:t>Procesos terapéuticos, técnicas de breathwork, dinámicas transgeneracionales y demás técnicas propietarias del Programa.</w:t>
      </w:r>
    </w:p>
    <w:p>
      <w:pPr>
        <w:pStyle w:val="ListBullet"/>
        <w:spacing w:after="80"/>
      </w:pPr>
      <w:r>
        <w:rPr>
          <w:sz w:val="22"/>
        </w:rPr>
        <w:t>Identidad, historias personales, experiencias, traumas y testimonios compartidos por otros participantes durante sesiones individuales o grupales.</w:t>
      </w:r>
    </w:p>
    <w:p>
      <w:pPr>
        <w:pStyle w:val="ListBullet"/>
        <w:spacing w:after="80"/>
      </w:pPr>
      <w:r>
        <w:rPr>
          <w:sz w:val="22"/>
        </w:rPr>
        <w:t>Información comercial de la Compañía: estructura de precios, estrategias de marketing, listas de clientes, datos de proveedores.</w:t>
      </w:r>
    </w:p>
    <w:p>
      <w:pPr>
        <w:pStyle w:val="ListBullet"/>
        <w:spacing w:after="80"/>
      </w:pPr>
      <w:r>
        <w:rPr>
          <w:sz w:val="22"/>
        </w:rPr>
        <w:t>Cualquier información identificada verbalmente o por escrito como "confidencial" o "reservada" por la Compañía o sus facilitadores.</w:t>
      </w:r>
    </w:p>
    <w:p>
      <w:pPr>
        <w:spacing w:after="120" w:before="240"/>
        <w:jc w:val="left"/>
      </w:pPr>
      <w:r>
        <w:rPr>
          <w:b/>
          <w:color w:val="B8941F"/>
          <w:sz w:val="26"/>
        </w:rPr>
        <w:t>3. OBLIGACIONES DEL PARTICIPANTE</w:t>
      </w:r>
    </w:p>
    <w:p>
      <w:pPr>
        <w:spacing w:after="120"/>
      </w:pPr>
      <w:r>
        <w:rPr>
          <w:b w:val="0"/>
          <w:i w:val="0"/>
          <w:sz w:val="22"/>
        </w:rPr>
        <w:t>El Participante se compromete a:</w:t>
      </w:r>
    </w:p>
    <w:p>
      <w:pPr>
        <w:pStyle w:val="ListBullet"/>
        <w:spacing w:after="80"/>
      </w:pPr>
      <w:r>
        <w:rPr>
          <w:sz w:val="22"/>
        </w:rPr>
        <w:t>NO divulgar, publicar, compartir, transmitir ni reproducir, total ni parcialmente, ninguna Información Confidencial a terceros, incluyendo pero sin limitarse a familiares, amigos, redes sociales, medios de comunicación, otros profesionales o competidores de la Compañía.</w:t>
      </w:r>
    </w:p>
    <w:p>
      <w:pPr>
        <w:pStyle w:val="ListBullet"/>
        <w:spacing w:after="80"/>
      </w:pPr>
      <w:r>
        <w:rPr>
          <w:sz w:val="22"/>
        </w:rPr>
        <w:t>NO usar la Información Confidencial para crear, ofrecer, replicar o comercializar cursos, talleres, libros, podcasts, contenido digital o servicios similares al Programa.</w:t>
      </w:r>
    </w:p>
    <w:p>
      <w:pPr>
        <w:pStyle w:val="ListBullet"/>
        <w:spacing w:after="80"/>
      </w:pPr>
      <w:r>
        <w:rPr>
          <w:sz w:val="22"/>
        </w:rPr>
        <w:t>Mantener absoluta confidencialidad sobre la identidad, historias y experiencias de otros participantes. Lo compartido en el círculo del Programa permanece en el círculo del Programa.</w:t>
      </w:r>
    </w:p>
    <w:p>
      <w:pPr>
        <w:pStyle w:val="ListBullet"/>
        <w:spacing w:after="80"/>
      </w:pPr>
      <w:r>
        <w:rPr>
          <w:sz w:val="22"/>
        </w:rPr>
        <w:t>NO grabar, fotografiar ni capturar de ninguna forma las sesiones del Programa sin autorización expresa y por escrito de la Compañía. La Compañía es la única autorizada a documentar las sesiones (ver Media Release).</w:t>
      </w:r>
    </w:p>
    <w:p>
      <w:pPr>
        <w:pStyle w:val="ListBullet"/>
        <w:spacing w:after="80"/>
      </w:pPr>
      <w:r>
        <w:rPr>
          <w:sz w:val="22"/>
        </w:rPr>
        <w:t>Devolver o destruir, a solicitud de la Compañía, cualquier material físico o digital del Programa que se encuentre en su poder al finalizar su participación.</w:t>
      </w:r>
    </w:p>
    <w:p>
      <w:pPr>
        <w:spacing w:after="120" w:before="240"/>
        <w:jc w:val="left"/>
      </w:pPr>
      <w:r>
        <w:rPr>
          <w:b/>
          <w:color w:val="B8941F"/>
          <w:sz w:val="26"/>
        </w:rPr>
        <w:t>4. EXCEPCIONES</w:t>
      </w:r>
    </w:p>
    <w:p>
      <w:pPr>
        <w:spacing w:after="120"/>
      </w:pPr>
      <w:r>
        <w:rPr>
          <w:b w:val="0"/>
          <w:i w:val="0"/>
          <w:sz w:val="22"/>
        </w:rPr>
        <w:t>Las obligaciones de confidencialidad de este Acuerdo NO aplican cuando la Información Confidencial:</w:t>
      </w:r>
    </w:p>
    <w:p>
      <w:pPr>
        <w:pStyle w:val="ListBullet"/>
        <w:spacing w:after="80"/>
      </w:pPr>
      <w:r>
        <w:rPr>
          <w:sz w:val="22"/>
        </w:rPr>
        <w:t>Es o se convierte en información de dominio público sin culpa del Participante.</w:t>
      </w:r>
    </w:p>
    <w:p>
      <w:pPr>
        <w:pStyle w:val="ListBullet"/>
        <w:spacing w:after="80"/>
      </w:pPr>
      <w:r>
        <w:rPr>
          <w:sz w:val="22"/>
        </w:rPr>
        <w:t>Era ya conocida por el Participante de buena fe antes de su participación en el Programa, con evidencia documentada.</w:t>
      </w:r>
    </w:p>
    <w:p>
      <w:pPr>
        <w:pStyle w:val="ListBullet"/>
        <w:spacing w:after="80"/>
      </w:pPr>
      <w:r>
        <w:rPr>
          <w:sz w:val="22"/>
        </w:rPr>
        <w:t>Es revelada al Participante por un tercero que no esté sujeto a obligación de confidencialidad con la Compañía.</w:t>
      </w:r>
    </w:p>
    <w:p>
      <w:pPr>
        <w:pStyle w:val="ListBullet"/>
        <w:spacing w:after="80"/>
      </w:pPr>
      <w:r>
        <w:rPr>
          <w:sz w:val="22"/>
        </w:rPr>
        <w:t>Debe ser revelada por mandato judicial o por requerimiento de autoridad competente. En tal caso, el Participante notificará a la Compañía dentro de un plazo razonable para permitirle ejercer recursos legales antes de la revelación.</w:t>
      </w:r>
    </w:p>
    <w:p>
      <w:pPr>
        <w:pStyle w:val="ListBullet"/>
        <w:spacing w:after="80"/>
      </w:pPr>
      <w:r>
        <w:rPr>
          <w:sz w:val="22"/>
        </w:rPr>
        <w:t>El Participante comparte avances de su propio proceso terapéutico, sin exponer metodología propietaria, contenidos confidenciales del Programa, ni identidad o historias de otros participantes.</w:t>
      </w:r>
    </w:p>
    <w:p>
      <w:pPr>
        <w:spacing w:after="120" w:before="240"/>
        <w:jc w:val="left"/>
      </w:pPr>
      <w:r>
        <w:rPr>
          <w:b/>
          <w:color w:val="B8941F"/>
          <w:sz w:val="26"/>
        </w:rPr>
        <w:t>5. DURACIÓN</w:t>
      </w:r>
    </w:p>
    <w:p>
      <w:pPr>
        <w:spacing w:after="120"/>
      </w:pPr>
      <w:r>
        <w:rPr>
          <w:b w:val="0"/>
          <w:i w:val="0"/>
          <w:sz w:val="22"/>
        </w:rPr>
        <w:t>Las obligaciones de confidencialidad establecidas en este Acuerdo permanecerán vigentes durante la participación del Participante en el Programa y por un período adicional de cinco (5) años después de su finalización o terminación. La obligación de proteger la identidad y experiencias de otros participantes es PERPETUA y NO expira con el plazo anterior.</w:t>
      </w:r>
    </w:p>
    <w:p>
      <w:pPr>
        <w:spacing w:after="120" w:before="240"/>
        <w:jc w:val="left"/>
      </w:pPr>
      <w:r>
        <w:rPr>
          <w:b/>
          <w:color w:val="B8941F"/>
          <w:sz w:val="26"/>
        </w:rPr>
        <w:t>6. RECURSOS Y PENALIDADES</w:t>
      </w:r>
    </w:p>
    <w:p>
      <w:pPr>
        <w:spacing w:after="120"/>
      </w:pPr>
      <w:r>
        <w:rPr>
          <w:b w:val="0"/>
          <w:i w:val="0"/>
          <w:sz w:val="22"/>
        </w:rPr>
        <w:t>El Participante reconoce que el incumplimiento de este Acuerdo causará daños irreparables a la Compañía, difíciles de cuantificar monetariamente. En consecuencia, la Compañía tendrá derecho a solicitar:</w:t>
      </w:r>
    </w:p>
    <w:p>
      <w:pPr>
        <w:pStyle w:val="ListBullet"/>
        <w:spacing w:after="80"/>
      </w:pPr>
      <w:r>
        <w:rPr>
          <w:sz w:val="22"/>
        </w:rPr>
        <w:t>Medidas cautelares (injunctive relief) para detener la divulgación.</w:t>
      </w:r>
    </w:p>
    <w:p>
      <w:pPr>
        <w:pStyle w:val="ListBullet"/>
        <w:spacing w:after="80"/>
      </w:pPr>
      <w:r>
        <w:rPr>
          <w:sz w:val="22"/>
        </w:rPr>
        <w:t>Indemnización por todos los daños y perjuicios reales que se puedan demostrar.</w:t>
      </w:r>
    </w:p>
    <w:p>
      <w:pPr>
        <w:pStyle w:val="ListBullet"/>
        <w:spacing w:after="80"/>
      </w:pPr>
      <w:r>
        <w:rPr>
          <w:sz w:val="22"/>
        </w:rPr>
        <w:t>Reembolso de honorarios razonables de abogados y costos del proceso.</w:t>
      </w:r>
    </w:p>
    <w:p>
      <w:pPr>
        <w:spacing w:after="120" w:before="240"/>
        <w:jc w:val="left"/>
      </w:pPr>
      <w:r>
        <w:rPr>
          <w:b/>
          <w:color w:val="B8941F"/>
          <w:sz w:val="26"/>
        </w:rPr>
        <w:t>7. INDEPENDENCIA DE CLÁUSULAS</w:t>
      </w:r>
    </w:p>
    <w:p>
      <w:pPr>
        <w:spacing w:after="120"/>
      </w:pPr>
      <w:r>
        <w:rPr>
          <w:b w:val="0"/>
          <w:i w:val="0"/>
          <w:sz w:val="22"/>
        </w:rPr>
        <w:t>Si alguna disposición de este Acuerdo es declarada inválida o inejecutable, las disposiciones restantes permanecerán en pleno vigor y efecto.</w:t>
      </w:r>
    </w:p>
    <w:p>
      <w:pPr>
        <w:spacing w:after="120" w:before="240"/>
        <w:jc w:val="left"/>
      </w:pPr>
      <w:r>
        <w:rPr>
          <w:b/>
          <w:color w:val="B8941F"/>
          <w:sz w:val="26"/>
        </w:rPr>
        <w:t>8. ACUERDO COMPLETO Y MODIFICACIONES</w:t>
      </w:r>
    </w:p>
    <w:p>
      <w:pPr>
        <w:spacing w:after="120"/>
      </w:pPr>
      <w:r>
        <w:rPr>
          <w:b w:val="0"/>
          <w:i w:val="0"/>
          <w:sz w:val="22"/>
        </w:rPr>
        <w:t>Este Acuerdo, junto con el Waiver y el Media Release firmados por el Participante, constituye el acuerdo completo entre las partes respecto a la confidencialidad. Cualquier modificación requiere consentimiento por escrito de ambas partes.</w:t>
      </w:r>
    </w:p>
    <w:p>
      <w:pPr>
        <w:spacing w:after="120" w:before="240"/>
        <w:jc w:val="left"/>
      </w:pPr>
      <w:r>
        <w:rPr>
          <w:b/>
          <w:color w:val="B8941F"/>
          <w:sz w:val="26"/>
        </w:rPr>
        <w:t>9. LEY APLICABLE Y JURISDICCIÓN</w:t>
      </w:r>
    </w:p>
    <w:p>
      <w:pPr>
        <w:spacing w:after="120"/>
      </w:pPr>
      <w:r>
        <w:rPr>
          <w:b w:val="0"/>
          <w:i w:val="0"/>
          <w:sz w:val="22"/>
        </w:rPr>
        <w:t>Este Acuerdo se rige por las leyes del Estado de Florida, EE. UU. Cualquier disputa derivada de este Acuerdo se resolverá exclusivamente en los tribunales del Condado de Osceola (Osceola County), Florida.</w:t>
      </w:r>
    </w:p>
    <w:p>
      <w:pPr>
        <w:spacing w:after="280"/>
      </w:pPr>
      <w:r>
        <w:rPr>
          <w:b/>
          <w:i w:val="0"/>
          <w:sz w:val="22"/>
        </w:rPr>
        <w:t>HE LEÍDO ESTE ACUERDO DE CONFIDENCIALIDAD, ENTIENDO PLENAMENTE SUS TÉRMINOS, ENTIENDO QUE MIS OBLIGACIONES PERSISTEN DESPUÉS DE TERMINAR EL PROGRAMA, Y LO FIRMO LIBRE Y VOLUNTARIAMENTE.</w:t>
      </w:r>
    </w:p>
    <w:p>
      <w:pPr>
        <w:spacing w:after="120" w:before="240"/>
        <w:jc w:val="left"/>
      </w:pPr>
      <w:r>
        <w:rPr>
          <w:b/>
          <w:color w:val="B8941F"/>
          <w:sz w:val="26"/>
        </w:rPr>
        <w:t>FIRMA DEL PARTICIPANTE</w:t>
      </w:r>
    </w:p>
    <w:p>
      <w:pPr>
        <w:spacing w:after="240"/>
      </w:pPr>
      <w:r>
        <w:rPr>
          <w:b w:val="0"/>
          <w:i w:val="0"/>
          <w:color w:val="55555C"/>
          <w:sz w:val="20"/>
        </w:rPr>
        <w:t>Al firmar abajo, declaro que he leído íntegramente este documento, comprendo plenamente sus términos y los acepto libre y voluntariamente.</w:t>
      </w:r>
    </w:p>
    <w:p>
      <w:pPr>
        <w:spacing w:after="160"/>
      </w:pPr>
      <w:r>
        <w:rPr>
          <w:b/>
          <w:sz w:val="22"/>
        </w:rPr>
        <w:t xml:space="preserve">Nombre completo: </w:t>
      </w:r>
      <w:r>
        <w:rPr>
          <w:sz w:val="22"/>
        </w:rPr>
        <w:t>____________________________________________________________</w:t>
      </w:r>
    </w:p>
    <w:p>
      <w:pPr>
        <w:spacing w:after="160"/>
      </w:pPr>
      <w:r>
        <w:rPr>
          <w:b/>
          <w:sz w:val="22"/>
        </w:rPr>
        <w:t xml:space="preserve">Firma: </w:t>
      </w:r>
      <w:r>
        <w:rPr>
          <w:sz w:val="22"/>
        </w:rPr>
        <w:t>____________________________________________________________</w:t>
      </w:r>
    </w:p>
    <w:p>
      <w:pPr>
        <w:spacing w:after="160"/>
      </w:pPr>
      <w:r>
        <w:rPr>
          <w:b/>
          <w:sz w:val="22"/>
        </w:rPr>
        <w:t xml:space="preserve">Fecha (DD/MM/AAAA): </w:t>
      </w:r>
      <w:r>
        <w:rPr>
          <w:sz w:val="22"/>
        </w:rPr>
        <w:t>____________________________________________________________</w:t>
      </w:r>
    </w:p>
    <w:p>
      <w:pPr>
        <w:spacing w:after="160"/>
      </w:pPr>
      <w:r>
        <w:rPr>
          <w:b/>
          <w:sz w:val="22"/>
        </w:rPr>
        <w:t xml:space="preserve">Ciudad y país de firma: </w:t>
      </w:r>
      <w:r>
        <w:rPr>
          <w:sz w:val="22"/>
        </w:rPr>
        <w:t>____________________________________________________________</w:t>
      </w:r>
    </w:p>
    <w:p>
      <w:r>
        <w:br w:type="page"/>
      </w:r>
    </w:p>
    <w:p>
      <w:pPr>
        <w:spacing w:after="120" w:before="240"/>
        <w:jc w:val="left"/>
      </w:pPr>
      <w:r>
        <w:rPr>
          <w:b/>
          <w:color w:val="B8941F"/>
          <w:sz w:val="32"/>
        </w:rPr>
        <w:t>NOTAS PARA REVISIÓN — Solo para Frank y abogado</w:t>
      </w:r>
    </w:p>
    <w:p>
      <w:pPr>
        <w:spacing w:after="240"/>
      </w:pPr>
      <w:r>
        <w:rPr>
          <w:b w:val="0"/>
          <w:i/>
          <w:color w:val="55555C"/>
          <w:sz w:val="20"/>
        </w:rPr>
        <w:t>Esta sección NO forma parte del contrato. Es un documento de trabajo con observaciones y sugerencias. ANTES de poner el contrato en producción, eliminar esta sección o mantenerla en una versión interna separada.</w:t>
      </w:r>
    </w:p>
    <w:p>
      <w:pPr>
        <w:spacing w:after="120" w:before="240"/>
        <w:jc w:val="left"/>
      </w:pPr>
      <w:r>
        <w:rPr>
          <w:b/>
          <w:color w:val="1D1D1F"/>
          <w:sz w:val="26"/>
        </w:rPr>
        <w:t>Sobre la versión que estás recibiendo</w:t>
      </w:r>
    </w:p>
    <w:p>
      <w:pPr>
        <w:pStyle w:val="ListBullet"/>
        <w:spacing w:after="80"/>
      </w:pPr>
      <w:r>
        <w:rPr>
          <w:sz w:val="22"/>
        </w:rPr>
        <w:t>Esta es una versión REDACTADA POR MÍ (no es traducción de un NDA de Frank). Frank dijo que está pidiéndote la versión final del NDA. Cuando llegue la suya, COMPARA con esta y elige la mejor o consolida ambas con tu abogado.</w:t>
      </w:r>
    </w:p>
    <w:p>
      <w:pPr>
        <w:pStyle w:val="ListBullet"/>
        <w:spacing w:after="80"/>
      </w:pPr>
      <w:r>
        <w:rPr>
          <w:sz w:val="22"/>
        </w:rPr>
        <w:t>Esta versión está pensada específicamente para un programa de transformación personal con contenido propietario, dinámicas grupales y experiencias compartidas entre participantes. Es más estricta que un NDA genérico de SaaS o consultoría.</w:t>
      </w:r>
    </w:p>
    <w:p>
      <w:pPr>
        <w:spacing w:after="120" w:before="240"/>
        <w:jc w:val="left"/>
      </w:pPr>
      <w:r>
        <w:rPr>
          <w:b/>
          <w:color w:val="1D1D1F"/>
          <w:sz w:val="26"/>
        </w:rPr>
        <w:t>Decisiones clave incorporadas</w:t>
      </w:r>
    </w:p>
    <w:p>
      <w:pPr>
        <w:pStyle w:val="ListBullet"/>
        <w:spacing w:after="80"/>
      </w:pPr>
      <w:r>
        <w:rPr>
          <w:sz w:val="22"/>
        </w:rPr>
        <w:t>Plazo: 5 años post-programa para metodología y contenidos. PERPETUA para identidad y experiencias de otros participantes (estándar en programas grupales — proteger la confianza del círculo).</w:t>
      </w:r>
    </w:p>
    <w:p>
      <w:pPr>
        <w:pStyle w:val="ListBullet"/>
        <w:spacing w:after="80"/>
      </w:pPr>
      <w:r>
        <w:rPr>
          <w:sz w:val="22"/>
        </w:rPr>
        <w:t>No-replica explícita: la cláusula 3 prohíbe explícitamente que el Participante use lo aprendido para crear cursos similares. Esto es importante porque Re-Génesis tiene metodología propietaria.</w:t>
      </w:r>
    </w:p>
    <w:p>
      <w:pPr>
        <w:pStyle w:val="ListBullet"/>
        <w:spacing w:after="80"/>
      </w:pPr>
      <w:r>
        <w:rPr>
          <w:sz w:val="22"/>
        </w:rPr>
        <w:t>Excepción para proceso personal: la cláusula 4 permite al Participante hablar de su PROPIO proceso (ej: "este programa me cambió la vida") sin violar el NDA, siempre que no exponga metodología ni a otros. Esto es importante para no hacer el NDA hostil al testimonio espontáneo.</w:t>
      </w:r>
    </w:p>
    <w:p>
      <w:pPr>
        <w:pStyle w:val="ListBullet"/>
        <w:spacing w:after="80"/>
      </w:pPr>
      <w:r>
        <w:rPr>
          <w:sz w:val="22"/>
        </w:rPr>
        <w:t>Recursos: incluye injunctive relief (medidas cautelares) que es lo más fuerte que puede pedir Frank en Florida si alguien filtra material.</w:t>
      </w:r>
    </w:p>
    <w:p>
      <w:pPr>
        <w:spacing w:after="120" w:before="240"/>
        <w:jc w:val="left"/>
      </w:pPr>
      <w:r>
        <w:rPr>
          <w:b/>
          <w:color w:val="1D1D1F"/>
          <w:sz w:val="26"/>
        </w:rPr>
        <w:t>Para validar con Frank antes de subir a Documents &amp; Contracts</w:t>
      </w:r>
    </w:p>
    <w:p>
      <w:pPr>
        <w:pStyle w:val="ListBullet"/>
        <w:spacing w:after="80"/>
      </w:pPr>
      <w:r>
        <w:rPr>
          <w:sz w:val="22"/>
        </w:rPr>
        <w:t>Plazo de 5 años: ¿es suficiente o quiere indefinido? 5 años es razonable y sostenible legalmente. Indefinido es más difícil de defender.</w:t>
      </w:r>
    </w:p>
    <w:p>
      <w:pPr>
        <w:pStyle w:val="ListBullet"/>
        <w:spacing w:after="80"/>
      </w:pPr>
      <w:r>
        <w:rPr>
          <w:sz w:val="22"/>
        </w:rPr>
        <w:t>Cláusula de no-competencia: este NDA NO incluye no-compete (no es un NDA de empleados). Si Frank quiere prohibir explícitamente que ex-participantes ofrezcan cursos similares, eso requiere una cláusula adicional con cuidado especial — los no-competes son frágiles legalmente en muchos estados.</w:t>
      </w:r>
    </w:p>
    <w:p>
      <w:pPr>
        <w:pStyle w:val="ListBullet"/>
        <w:spacing w:after="80"/>
      </w:pPr>
      <w:r>
        <w:rPr>
          <w:sz w:val="22"/>
        </w:rPr>
        <w:t>Mención de Frank Ruiz y Tatiana Rojas: están nombrados explícitamente como facilitadores. Si entra otro facilitador en el futuro, puede requerirse un anexo. Decidir si dejarlo así o decir genéricamente "los facilitadores autorizados por la Compañía".</w:t>
      </w:r>
    </w:p>
    <w:p>
      <w:pPr>
        <w:pStyle w:val="ListBullet"/>
        <w:spacing w:after="80"/>
      </w:pPr>
      <w:r>
        <w:rPr>
          <w:sz w:val="22"/>
        </w:rPr>
        <w:t>Penalidad pecuniaria liquidada: NO incluí cláusula tipo "el Participante pagará X dólares por cada incumplimiento". En Florida estas son ejecutables si reflejan daños razonables. Si Frank quiere agregar una, decirlo y la incluyo en versión 2.</w:t>
      </w:r>
    </w:p>
    <w:p>
      <w:pPr>
        <w:spacing w:after="120" w:before="240"/>
        <w:jc w:val="left"/>
      </w:pPr>
      <w:r>
        <w:rPr>
          <w:b/>
          <w:color w:val="1D1D1F"/>
          <w:sz w:val="26"/>
        </w:rPr>
        <w:t>Pendientes legales</w:t>
      </w:r>
    </w:p>
    <w:p>
      <w:pPr>
        <w:pStyle w:val="ListBullet"/>
        <w:spacing w:after="80"/>
      </w:pPr>
      <w:r>
        <w:rPr>
          <w:sz w:val="22"/>
        </w:rPr>
        <w:t>Revisar con abogado de Florida la enforceability de la cláusula 5 (perpetua sobre identidad de otros participantes) — es estándar pero debe estar redactada con cuidado.</w:t>
      </w:r>
    </w:p>
    <w:p>
      <w:pPr>
        <w:pStyle w:val="ListBullet"/>
        <w:spacing w:after="80"/>
      </w:pPr>
      <w:r>
        <w:rPr>
          <w:sz w:val="22"/>
        </w:rPr>
        <w:t>Confirmar que las "Excepciones" de la cláusula 4 están alineadas con la práctica de Florida.</w:t>
      </w:r>
    </w:p>
    <w:p>
      <w:pPr>
        <w:pStyle w:val="ListBullet"/>
        <w:spacing w:after="80"/>
      </w:pPr>
      <w:r>
        <w:rPr>
          <w:sz w:val="22"/>
        </w:rPr>
        <w:t>Si Re-Génesis va a tener participantes europeos o colombianos, considerar adaptación bilingüe y referencias a sus leyes locales.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