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RunLab / EvidenceAI: A Jupyter-Facing Reproducible Research Workbench for AI-Assisted Literature Review</w:t>
      </w:r>
    </w:p>
    <w:p/>
    <w:p>
      <w:pPr>
        <w:jc w:val="center"/>
      </w:pPr>
      <w:r>
        <w:rPr>
          <w:i/>
          <w:sz w:val="26"/>
        </w:rPr>
        <w:t>Notebook Evidence Packets, Static Demo Retrieval, Verification Reports, and Replay-Aware Research Workflows</w:t>
      </w:r>
    </w:p>
    <w:p/>
    <w:p>
      <w:pPr>
        <w:jc w:val="center"/>
      </w:pPr>
      <w:r>
        <w:rPr>
          <w:b/>
        </w:rPr>
        <w:t>New rough draft based on the earlier Project 2 paper and the uploaded run-lab-main code scaffold</w:t>
      </w:r>
    </w:p>
    <w:p/>
    <w:p>
      <w:pPr>
        <w:jc w:val="center"/>
      </w:pPr>
      <w:r>
        <w:t>Prepared for: Jeramee Oliver</w:t>
      </w:r>
    </w:p>
    <w:p>
      <w:pPr>
        <w:jc w:val="center"/>
      </w:pPr>
      <w:r>
        <w:t>Prepared date: May 20, 2026</w:t>
      </w:r>
    </w:p>
    <w:p>
      <w:pPr>
        <w:jc w:val="center"/>
      </w:pPr>
      <w:r>
        <w:t>Project: Project 2 - Reproducible Research Workbench / RunLab / EvidenceAI</w:t>
      </w:r>
    </w:p>
    <w:p>
      <w:pPr>
        <w:jc w:val="center"/>
      </w:pPr>
      <w:r>
        <w:t>Code basis inspected: run-lab-main.zip</w:t>
      </w:r>
    </w:p>
    <w:p>
      <w:pPr>
        <w:jc w:val="center"/>
      </w:pPr>
      <w:r>
        <w:t>Status: Rough research-paper draft; the code is a scaffold, not a completed production system</w:t>
      </w:r>
    </w:p>
    <w:p>
      <w:pPr>
        <w:pStyle w:val="Heading1"/>
      </w:pPr>
      <w:r>
        <w:t>Draft status note</w:t>
      </w:r>
    </w:p>
    <w:p>
      <w:r>
        <w:t>This document revises the previous Project 2 research-paper draft using the current run-lab-main code scaffold. It should not be read as a claim that the full EvidenceAI / RunLab product is finished. The code currently demonstrates a bounded, local-first scaffold: workspace initialization, a static query job, an explicit local index reference, placeholder notebook execution records, demo retrieval and citation records, Markdown/HTML report output, replay metadata, artifact manifests, and mechanical verification. That is valuable because it turns the design from a purely conceptual paper into a code-backed v0.1 direction, while still preserving honest limitations.</w:t>
      </w:r>
    </w:p>
    <w:p>
      <w:pPr>
        <w:pStyle w:val="Heading1"/>
      </w:pPr>
      <w:r>
        <w:t>Abstract</w:t>
      </w:r>
    </w:p>
    <w:p>
      <w:r>
        <w:t>AI-assisted research systems increasingly compress the path from question to report, but polished outputs are not durable research objects unless the evidence path behind them can be inspected, replayed, and challenged. The earlier Project 2 paper proposed EvidenceAI as a local-first reproducible research workbench for AI-assisted literature review, notebook execution, evidence packets, reports, and replayable workflows. The current code scaffold, named RunLab, sharpens that proposal into a Jupyter-facing product direction: a user-facing reproducible research workbench that can eventually sit inside or beside Jupyter Notebook and JupyterLab while producing structured evidence-backed run packets. The inspected scaffold implements a minimal command-line path for workspace creation, static demo retrieval, placeholder official notebook run records, rendered Markdown/HTML reports, artifact manifests, replay manifests, and mechanical verification. It deliberately avoids hidden model downloads, broad ingestion, source-control mutation, lab control, and scientific-validation claims. This paper reframes Project 2 around that code-backed RunLab/EvidenceAI direction. Its central claim is not that the current scaffold proves scientific truth or completes reproducible research. Rather, the scaffold demonstrates the correct first product center: one explicit query job, one explicit local or txtai index reference, one official notebook-template run record, one report, and one evidence-backed run packet that makes AI-assisted research more inspectable.</w:t>
      </w:r>
    </w:p>
    <w:p>
      <w:r>
        <w:t>Keywords: reproducible research; RunLab; EvidenceAI; JupyterLab; Jupyter notebooks; evidence packets; retrieval-augmented generation; txtai; Papermill; research provenance; replay manifests</w:t>
      </w:r>
    </w:p>
    <w:p>
      <w:pPr>
        <w:pStyle w:val="Heading1"/>
      </w:pPr>
      <w:r>
        <w:t>1. Introduction</w:t>
      </w:r>
    </w:p>
    <w:p>
      <w:r>
        <w:t>The original Project 2 paper argued that AI-assisted research should not end at a polished answer. A durable research workflow should preserve the question, index or corpus identity, retrieval configuration, sources, citations, notebook template, execution parameters, environment posture, report output, replay limits, and authority boundaries. That thesis remains correct. The new code base changes the emphasis from a broad product name, EvidenceAI, toward a more specific user-facing implementation lane: RunLab.</w:t>
      </w:r>
    </w:p>
    <w:p>
      <w:r>
        <w:t>RunLab is framed in the uploaded code as a user-facing Jupyter Notebook and JupyterLab workbench for reproducible AI-assisted research. This matters because it restores the product center. Project 2 should not be only a low-level evidence library, and it should not become the open-lab orchestration system. Its product job is to help a researcher conduct notebook-centered research while automatically preserving the evidence-backed run packet behind the output.</w:t>
      </w:r>
    </w:p>
    <w:p>
      <w:r>
        <w:t>The central line remains: the report is not the durable object; the evidence-backed run packet is. The current scaffold is modest, but it moves in that direction. It initializes a workspace, creates demo query and index files, generates a run packet, writes retrieval and citation records, emits an executed-notebook placeholder, renders Markdown and HTML reports, writes an artifact manifest, writes a replay manifest, and mechanically verifies required artifacts. Those operations do not yet constitute a full txtai/Papermill/JupyterLab integration. They do, however, capture the first runnable shape of the product.</w:t>
      </w:r>
    </w:p>
    <w:p>
      <w:pPr>
        <w:pStyle w:val="Heading1"/>
      </w:pPr>
      <w:r>
        <w:t>2. From EvidenceAI concept to RunLab code scaffold</w:t>
      </w:r>
    </w:p>
    <w:p>
      <w:r>
        <w:t>The earlier paper used EvidenceAI as the public-facing name for the reproducible research workbench. The uploaded code uses RunLab as the repository and CLI identity. These names do not have to conflict. EvidenceAI can remain the broader product thesis or family identity, while RunLab becomes the concrete Project 2 application: the Jupyter-facing workbench that runs notebooks and packages evidence-backed research runs.</w:t>
      </w:r>
    </w:p>
    <w:p>
      <w:r>
        <w:t>The code documentation makes the project separation explicit. RunLab is Project 2 only. It owns workspaces, query jobs, explicit index references, static demo retrieval, official notebook placeholder run records, rendered Markdown/HTML demo reports, and run-packet verification. It does not own the low-level evidence core, TraceLab instrument orchestration, physical lab control, or scientific validation. That separation matches the earlier paper’s theory but makes it more practical.</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r/>
            <w:r>
              <w:rPr>
                <w:b/>
                <w:sz w:val="18"/>
              </w:rPr>
              <w:t>Layer</w:t>
            </w:r>
          </w:p>
        </w:tc>
        <w:tc>
          <w:tcPr>
            <w:tcW w:type="dxa" w:w="5184"/>
            <w:shd w:fill="D9EAF7"/>
            <w:vAlign w:val="center"/>
          </w:tcPr>
          <w:p>
            <w:r/>
            <w:r>
              <w:rPr>
                <w:b/>
                <w:sz w:val="18"/>
              </w:rPr>
              <w:t>Role after inspecting run-lab-main</w:t>
            </w:r>
          </w:p>
        </w:tc>
        <w:tc>
          <w:tcPr>
            <w:tcW w:type="dxa" w:w="3456"/>
            <w:shd w:fill="D9EAF7"/>
            <w:vAlign w:val="center"/>
          </w:tcPr>
          <w:p>
            <w:r/>
            <w:r>
              <w:rPr>
                <w:b/>
                <w:sz w:val="18"/>
              </w:rPr>
              <w:t>Boundary</w:t>
            </w:r>
          </w:p>
        </w:tc>
      </w:tr>
      <w:tr>
        <w:tc>
          <w:tcPr>
            <w:tcW w:type="dxa" w:w="2448"/>
            <w:vAlign w:val="top"/>
          </w:tcPr>
          <w:p>
            <w:r/>
            <w:r>
              <w:rPr>
                <w:b w:val="0"/>
                <w:sz w:val="18"/>
              </w:rPr>
              <w:t>Evidence Packet Core</w:t>
            </w:r>
          </w:p>
        </w:tc>
        <w:tc>
          <w:tcPr>
            <w:tcW w:type="dxa" w:w="5184"/>
            <w:vAlign w:val="top"/>
          </w:tcPr>
          <w:p>
            <w:r/>
            <w:r>
              <w:rPr>
                <w:b w:val="0"/>
                <w:sz w:val="18"/>
              </w:rPr>
              <w:t>Future or underlying low-level records, manifests, hashes, replay metadata, authority vocabulary, and verifier logic.</w:t>
            </w:r>
          </w:p>
        </w:tc>
        <w:tc>
          <w:tcPr>
            <w:tcW w:type="dxa" w:w="3456"/>
            <w:vAlign w:val="top"/>
          </w:tcPr>
          <w:p>
            <w:r/>
            <w:r>
              <w:rPr>
                <w:b w:val="0"/>
                <w:sz w:val="18"/>
              </w:rPr>
              <w:t>Should not become the public Jupyter workbench.</w:t>
            </w:r>
          </w:p>
        </w:tc>
      </w:tr>
      <w:tr>
        <w:tc>
          <w:tcPr>
            <w:tcW w:type="dxa" w:w="2448"/>
            <w:vAlign w:val="top"/>
          </w:tcPr>
          <w:p>
            <w:r/>
            <w:r>
              <w:rPr>
                <w:b w:val="0"/>
                <w:sz w:val="18"/>
              </w:rPr>
              <w:t>RunLab / Project 2</w:t>
            </w:r>
          </w:p>
        </w:tc>
        <w:tc>
          <w:tcPr>
            <w:tcW w:type="dxa" w:w="5184"/>
            <w:vAlign w:val="top"/>
          </w:tcPr>
          <w:p>
            <w:r/>
            <w:r>
              <w:rPr>
                <w:b w:val="0"/>
                <w:sz w:val="18"/>
              </w:rPr>
              <w:t>User-facing notebook/research workbench that creates workspaces, query jobs, run packets, reports, replay metadata, and verification reports.</w:t>
            </w:r>
          </w:p>
        </w:tc>
        <w:tc>
          <w:tcPr>
            <w:tcW w:type="dxa" w:w="3456"/>
            <w:vAlign w:val="top"/>
          </w:tcPr>
          <w:p>
            <w:r/>
            <w:r>
              <w:rPr>
                <w:b w:val="0"/>
                <w:sz w:val="18"/>
              </w:rPr>
              <w:t>Should not become TraceLab, a hardware controller, a source-control agent, or a scientific validator.</w:t>
            </w:r>
          </w:p>
        </w:tc>
      </w:tr>
      <w:tr>
        <w:tc>
          <w:tcPr>
            <w:tcW w:type="dxa" w:w="2448"/>
            <w:vAlign w:val="top"/>
          </w:tcPr>
          <w:p>
            <w:r/>
            <w:r>
              <w:rPr>
                <w:b w:val="0"/>
                <w:sz w:val="18"/>
              </w:rPr>
              <w:t>TraceLab / Project 3</w:t>
            </w:r>
          </w:p>
        </w:tc>
        <w:tc>
          <w:tcPr>
            <w:tcW w:type="dxa" w:w="5184"/>
            <w:vAlign w:val="top"/>
          </w:tcPr>
          <w:p>
            <w:r/>
            <w:r>
              <w:rPr>
                <w:b w:val="0"/>
                <w:sz w:val="18"/>
              </w:rPr>
              <w:t>Future adapter-aware instrumented-research evidence layer.</w:t>
            </w:r>
          </w:p>
        </w:tc>
        <w:tc>
          <w:tcPr>
            <w:tcW w:type="dxa" w:w="3456"/>
            <w:vAlign w:val="top"/>
          </w:tcPr>
          <w:p>
            <w:r/>
            <w:r>
              <w:rPr>
                <w:b w:val="0"/>
                <w:sz w:val="18"/>
              </w:rPr>
              <w:t>Should not be pulled into Project 2 v0.1.</w:t>
            </w:r>
          </w:p>
        </w:tc>
      </w:tr>
    </w:tbl>
    <w:p/>
    <w:p>
      <w:pPr>
        <w:pStyle w:val="Heading1"/>
      </w:pPr>
      <w:r>
        <w:t>3. Related work and product ecosystem</w:t>
      </w:r>
    </w:p>
    <w:p>
      <w:r>
        <w:t>The old paper correctly positioned the workbench among reproducible research platforms, notebooks, parameterized notebook execution, reproducible publishing, and research-object packaging. Whole Tale, Renku, Binder/repo2docker, Jupyter notebooks, Papermill, Jupytext, Quarto, RO-Crate, FAIR4RS, and notebook-validation tools remain relevant. The code scaffold does not replace any of those systems. Instead, it demonstrates a narrow local product pattern that could later connect to them.</w:t>
      </w:r>
    </w:p>
    <w:p>
      <w:r>
        <w:t>The RunLab code also preserves the NeuML-adjacent direction. txtai remains the likely retrieval and RAG foundation. paperetl remains a future scientific-paper source-processing adapter. paperai remains a future report-generation or report-import integration. RunLab should not become those tools. It should package evidence around workflows that use them.</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r/>
            <w:r>
              <w:rPr>
                <w:b/>
                <w:sz w:val="18"/>
              </w:rPr>
              <w:t>Tool or family</w:t>
            </w:r>
          </w:p>
        </w:tc>
        <w:tc>
          <w:tcPr>
            <w:tcW w:type="dxa" w:w="3888"/>
            <w:shd w:fill="D9EAF7"/>
            <w:vAlign w:val="center"/>
          </w:tcPr>
          <w:p>
            <w:r/>
            <w:r>
              <w:rPr>
                <w:b/>
                <w:sz w:val="18"/>
              </w:rPr>
              <w:t>Existing strength</w:t>
            </w:r>
          </w:p>
        </w:tc>
        <w:tc>
          <w:tcPr>
            <w:tcW w:type="dxa" w:w="4608"/>
            <w:shd w:fill="D9EAF7"/>
            <w:vAlign w:val="center"/>
          </w:tcPr>
          <w:p>
            <w:r/>
            <w:r>
              <w:rPr>
                <w:b/>
                <w:sz w:val="18"/>
              </w:rPr>
              <w:t>RunLab/EvidenceAI use</w:t>
            </w:r>
          </w:p>
        </w:tc>
      </w:tr>
      <w:tr>
        <w:tc>
          <w:tcPr>
            <w:tcW w:type="dxa" w:w="2448"/>
            <w:vAlign w:val="top"/>
          </w:tcPr>
          <w:p>
            <w:r/>
            <w:r>
              <w:rPr>
                <w:b w:val="0"/>
                <w:sz w:val="18"/>
              </w:rPr>
              <w:t>Jupyter Notebook / JupyterLab</w:t>
            </w:r>
          </w:p>
        </w:tc>
        <w:tc>
          <w:tcPr>
            <w:tcW w:type="dxa" w:w="3888"/>
            <w:vAlign w:val="top"/>
          </w:tcPr>
          <w:p>
            <w:r/>
            <w:r>
              <w:rPr>
                <w:b w:val="0"/>
                <w:sz w:val="18"/>
              </w:rPr>
              <w:t>Interactive notebook research surface.</w:t>
            </w:r>
          </w:p>
        </w:tc>
        <w:tc>
          <w:tcPr>
            <w:tcW w:type="dxa" w:w="4608"/>
            <w:vAlign w:val="top"/>
          </w:tcPr>
          <w:p>
            <w:r/>
            <w:r>
              <w:rPr>
                <w:b w:val="0"/>
                <w:sz w:val="18"/>
              </w:rPr>
              <w:t>Future user-facing workspace where official templates and evidence runs live.</w:t>
            </w:r>
          </w:p>
        </w:tc>
      </w:tr>
      <w:tr>
        <w:tc>
          <w:tcPr>
            <w:tcW w:type="dxa" w:w="2448"/>
            <w:vAlign w:val="top"/>
          </w:tcPr>
          <w:p>
            <w:r/>
            <w:r>
              <w:rPr>
                <w:b w:val="0"/>
                <w:sz w:val="18"/>
              </w:rPr>
              <w:t>Papermill</w:t>
            </w:r>
          </w:p>
        </w:tc>
        <w:tc>
          <w:tcPr>
            <w:tcW w:type="dxa" w:w="3888"/>
            <w:vAlign w:val="top"/>
          </w:tcPr>
          <w:p>
            <w:r/>
            <w:r>
              <w:rPr>
                <w:b w:val="0"/>
                <w:sz w:val="18"/>
              </w:rPr>
              <w:t>Parameterized notebook execution.</w:t>
            </w:r>
          </w:p>
        </w:tc>
        <w:tc>
          <w:tcPr>
            <w:tcW w:type="dxa" w:w="4608"/>
            <w:vAlign w:val="top"/>
          </w:tcPr>
          <w:p>
            <w:r/>
            <w:r>
              <w:rPr>
                <w:b w:val="0"/>
                <w:sz w:val="18"/>
              </w:rPr>
              <w:t>Future execution backend; current scaffold records a placeholder no-Papermill execution mode.</w:t>
            </w:r>
          </w:p>
        </w:tc>
      </w:tr>
      <w:tr>
        <w:tc>
          <w:tcPr>
            <w:tcW w:type="dxa" w:w="2448"/>
            <w:vAlign w:val="top"/>
          </w:tcPr>
          <w:p>
            <w:r/>
            <w:r>
              <w:rPr>
                <w:b w:val="0"/>
                <w:sz w:val="18"/>
              </w:rPr>
              <w:t>Jupytext</w:t>
            </w:r>
          </w:p>
        </w:tc>
        <w:tc>
          <w:tcPr>
            <w:tcW w:type="dxa" w:w="3888"/>
            <w:vAlign w:val="top"/>
          </w:tcPr>
          <w:p>
            <w:r/>
            <w:r>
              <w:rPr>
                <w:b w:val="0"/>
                <w:sz w:val="18"/>
              </w:rPr>
              <w:t>Text-paired notebooks that are easier to review.</w:t>
            </w:r>
          </w:p>
        </w:tc>
        <w:tc>
          <w:tcPr>
            <w:tcW w:type="dxa" w:w="4608"/>
            <w:vAlign w:val="top"/>
          </w:tcPr>
          <w:p>
            <w:r/>
            <w:r>
              <w:rPr>
                <w:b w:val="0"/>
                <w:sz w:val="18"/>
              </w:rPr>
              <w:t>Future pairing for official templates only, not scratch notebooks.</w:t>
            </w:r>
          </w:p>
        </w:tc>
      </w:tr>
      <w:tr>
        <w:tc>
          <w:tcPr>
            <w:tcW w:type="dxa" w:w="2448"/>
            <w:vAlign w:val="top"/>
          </w:tcPr>
          <w:p>
            <w:r/>
            <w:r>
              <w:rPr>
                <w:b w:val="0"/>
                <w:sz w:val="18"/>
              </w:rPr>
              <w:t>txtai</w:t>
            </w:r>
          </w:p>
        </w:tc>
        <w:tc>
          <w:tcPr>
            <w:tcW w:type="dxa" w:w="3888"/>
            <w:vAlign w:val="top"/>
          </w:tcPr>
          <w:p>
            <w:r/>
            <w:r>
              <w:rPr>
                <w:b w:val="0"/>
                <w:sz w:val="18"/>
              </w:rPr>
              <w:t>Semantic search, embeddings, RAG, workflows, and local AI infrastructure.</w:t>
            </w:r>
          </w:p>
        </w:tc>
        <w:tc>
          <w:tcPr>
            <w:tcW w:type="dxa" w:w="4608"/>
            <w:vAlign w:val="top"/>
          </w:tcPr>
          <w:p>
            <w:r/>
            <w:r>
              <w:rPr>
                <w:b w:val="0"/>
                <w:sz w:val="18"/>
              </w:rPr>
              <w:t>Future retrieval/index backend; current scaffold uses static local demo retrieval.</w:t>
            </w:r>
          </w:p>
        </w:tc>
      </w:tr>
      <w:tr>
        <w:tc>
          <w:tcPr>
            <w:tcW w:type="dxa" w:w="2448"/>
            <w:vAlign w:val="top"/>
          </w:tcPr>
          <w:p>
            <w:r/>
            <w:r>
              <w:rPr>
                <w:b w:val="0"/>
                <w:sz w:val="18"/>
              </w:rPr>
              <w:t>Quarto</w:t>
            </w:r>
          </w:p>
        </w:tc>
        <w:tc>
          <w:tcPr>
            <w:tcW w:type="dxa" w:w="3888"/>
            <w:vAlign w:val="top"/>
          </w:tcPr>
          <w:p>
            <w:r/>
            <w:r>
              <w:rPr>
                <w:b w:val="0"/>
                <w:sz w:val="18"/>
              </w:rPr>
              <w:t>Scientific/technical publishing.</w:t>
            </w:r>
          </w:p>
        </w:tc>
        <w:tc>
          <w:tcPr>
            <w:tcW w:type="dxa" w:w="4608"/>
            <w:vAlign w:val="top"/>
          </w:tcPr>
          <w:p>
            <w:r/>
            <w:r>
              <w:rPr>
                <w:b w:val="0"/>
                <w:sz w:val="18"/>
              </w:rPr>
              <w:t>Later high-quality rendering path; current scaffold writes Markdown and HTML directly.</w:t>
            </w:r>
          </w:p>
        </w:tc>
      </w:tr>
      <w:tr>
        <w:tc>
          <w:tcPr>
            <w:tcW w:type="dxa" w:w="2448"/>
            <w:vAlign w:val="top"/>
          </w:tcPr>
          <w:p>
            <w:r/>
            <w:r>
              <w:rPr>
                <w:b w:val="0"/>
                <w:sz w:val="18"/>
              </w:rPr>
              <w:t>RO-Crate</w:t>
            </w:r>
          </w:p>
        </w:tc>
        <w:tc>
          <w:tcPr>
            <w:tcW w:type="dxa" w:w="3888"/>
            <w:vAlign w:val="top"/>
          </w:tcPr>
          <w:p>
            <w:r/>
            <w:r>
              <w:rPr>
                <w:b w:val="0"/>
                <w:sz w:val="18"/>
              </w:rPr>
              <w:t>Research-object packaging metadata.</w:t>
            </w:r>
          </w:p>
        </w:tc>
        <w:tc>
          <w:tcPr>
            <w:tcW w:type="dxa" w:w="4608"/>
            <w:vAlign w:val="top"/>
          </w:tcPr>
          <w:p>
            <w:r/>
            <w:r>
              <w:rPr>
                <w:b w:val="0"/>
                <w:sz w:val="18"/>
              </w:rPr>
              <w:t>Future export target; current scaffold writes artifact and replay manifests.</w:t>
            </w:r>
          </w:p>
        </w:tc>
      </w:tr>
      <w:tr>
        <w:tc>
          <w:tcPr>
            <w:tcW w:type="dxa" w:w="2448"/>
            <w:vAlign w:val="top"/>
          </w:tcPr>
          <w:p>
            <w:r/>
            <w:r>
              <w:rPr>
                <w:b w:val="0"/>
                <w:sz w:val="18"/>
              </w:rPr>
              <w:t>FAIR4RS</w:t>
            </w:r>
          </w:p>
        </w:tc>
        <w:tc>
          <w:tcPr>
            <w:tcW w:type="dxa" w:w="3888"/>
            <w:vAlign w:val="top"/>
          </w:tcPr>
          <w:p>
            <w:r/>
            <w:r>
              <w:rPr>
                <w:b w:val="0"/>
                <w:sz w:val="18"/>
              </w:rPr>
              <w:t>Findable, accessible, interoperable, reusable research software principles.</w:t>
            </w:r>
          </w:p>
        </w:tc>
        <w:tc>
          <w:tcPr>
            <w:tcW w:type="dxa" w:w="4608"/>
            <w:vAlign w:val="top"/>
          </w:tcPr>
          <w:p>
            <w:r/>
            <w:r>
              <w:rPr>
                <w:b w:val="0"/>
                <w:sz w:val="18"/>
              </w:rPr>
              <w:t>Design lens for metadata, dependencies, reuse, and public documentation.</w:t>
            </w:r>
          </w:p>
        </w:tc>
      </w:tr>
    </w:tbl>
    <w:p/>
    <w:p>
      <w:pPr>
        <w:pStyle w:val="Heading1"/>
      </w:pPr>
      <w:r>
        <w:t>4. Problem statement</w:t>
      </w:r>
    </w:p>
    <w:p>
      <w:r>
        <w:t>AI-assisted literature review and notebook workflows can produce summaries, reports, tables, and technical explanations very quickly. The risk is that the output becomes detached from the evidence path. A reviewer may see a polished report without knowing what query was run, what index was searched, what sources were retrieved, what citations were used, what notebook executed, what parameters were passed, or what environment generated the output.</w:t>
      </w:r>
    </w:p>
    <w:p>
      <w:r>
        <w:t>RunLab addresses this by making the evidence-backed run packet the central output. In the current scaffold, even a static demo run writes distinct artifacts for query input, index input, retrieval evidence, source citation records, context, notebook execution metadata, environment posture, replay metadata, artifact inventory, report output, and verification. This is not yet a complete research system, but it encodes the correct workflow discipline.</w:t>
      </w:r>
    </w:p>
    <w:p>
      <w:pPr>
        <w:pStyle w:val="Heading1"/>
      </w:pPr>
      <w:r>
        <w:t>5. Code scaffold review</w:t>
      </w:r>
    </w:p>
    <w:p>
      <w:r>
        <w:t>The uploaded run-lab-main code is a small Python package with no declared runtime dependencies beyond the standard library. The package exposes a console script named run-lab. The main modules are workspace.py, runner.py, verify.py, replay.py, io.py, constants.py, and cli.py. The tests contain one end-to-end smoke test that initializes a workspace, runs the demo, verifies the run packet, checks that a rendered Markdown report exists, and confirms that lab-run records are not present. The test suite passed in the inspected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AF7"/>
            <w:vAlign w:val="center"/>
          </w:tcPr>
          <w:p>
            <w:r/>
            <w:r>
              <w:rPr>
                <w:b/>
                <w:sz w:val="18"/>
              </w:rPr>
              <w:t>File or module</w:t>
            </w:r>
          </w:p>
        </w:tc>
        <w:tc>
          <w:tcPr>
            <w:tcW w:type="dxa" w:w="4320"/>
            <w:shd w:fill="D9EAF7"/>
            <w:vAlign w:val="center"/>
          </w:tcPr>
          <w:p>
            <w:r/>
            <w:r>
              <w:rPr>
                <w:b/>
                <w:sz w:val="18"/>
              </w:rPr>
              <w:t>Observed role</w:t>
            </w:r>
          </w:p>
        </w:tc>
        <w:tc>
          <w:tcPr>
            <w:tcW w:type="dxa" w:w="4464"/>
            <w:shd w:fill="D9EAF7"/>
            <w:vAlign w:val="center"/>
          </w:tcPr>
          <w:p>
            <w:r/>
            <w:r>
              <w:rPr>
                <w:b/>
                <w:sz w:val="18"/>
              </w:rPr>
              <w:t>Research-paper interpretation</w:t>
            </w:r>
          </w:p>
        </w:tc>
      </w:tr>
      <w:tr>
        <w:tc>
          <w:tcPr>
            <w:tcW w:type="dxa" w:w="2304"/>
            <w:vAlign w:val="top"/>
          </w:tcPr>
          <w:p>
            <w:r/>
            <w:r>
              <w:rPr>
                <w:b w:val="0"/>
                <w:sz w:val="18"/>
              </w:rPr>
              <w:t>README.md</w:t>
            </w:r>
          </w:p>
        </w:tc>
        <w:tc>
          <w:tcPr>
            <w:tcW w:type="dxa" w:w="4320"/>
            <w:vAlign w:val="top"/>
          </w:tcPr>
          <w:p>
            <w:r/>
            <w:r>
              <w:rPr>
                <w:b w:val="0"/>
                <w:sz w:val="18"/>
              </w:rPr>
              <w:t>Defines RunLab as a user-facing Jupyter/JupyterLab workbench for reproducible AI-assisted research.</w:t>
            </w:r>
          </w:p>
        </w:tc>
        <w:tc>
          <w:tcPr>
            <w:tcW w:type="dxa" w:w="4464"/>
            <w:vAlign w:val="top"/>
          </w:tcPr>
          <w:p>
            <w:r/>
            <w:r>
              <w:rPr>
                <w:b w:val="0"/>
                <w:sz w:val="18"/>
              </w:rPr>
              <w:t>Establishes the revised Project 2 product identity.</w:t>
            </w:r>
          </w:p>
        </w:tc>
      </w:tr>
      <w:tr>
        <w:tc>
          <w:tcPr>
            <w:tcW w:type="dxa" w:w="2304"/>
            <w:vAlign w:val="top"/>
          </w:tcPr>
          <w:p>
            <w:r/>
            <w:r>
              <w:rPr>
                <w:b w:val="0"/>
                <w:sz w:val="18"/>
              </w:rPr>
              <w:t>CODE_STATUS.md</w:t>
            </w:r>
          </w:p>
        </w:tc>
        <w:tc>
          <w:tcPr>
            <w:tcW w:type="dxa" w:w="4320"/>
            <w:vAlign w:val="top"/>
          </w:tcPr>
          <w:p>
            <w:r/>
            <w:r>
              <w:rPr>
                <w:b w:val="0"/>
                <w:sz w:val="18"/>
              </w:rPr>
              <w:t>States that this is Project 2 only and lists owned/non-owned scope.</w:t>
            </w:r>
          </w:p>
        </w:tc>
        <w:tc>
          <w:tcPr>
            <w:tcW w:type="dxa" w:w="4464"/>
            <w:vAlign w:val="top"/>
          </w:tcPr>
          <w:p>
            <w:r/>
            <w:r>
              <w:rPr>
                <w:b w:val="0"/>
                <w:sz w:val="18"/>
              </w:rPr>
              <w:t>Supports the stack-boundary argument.</w:t>
            </w:r>
          </w:p>
        </w:tc>
      </w:tr>
      <w:tr>
        <w:tc>
          <w:tcPr>
            <w:tcW w:type="dxa" w:w="2304"/>
            <w:vAlign w:val="top"/>
          </w:tcPr>
          <w:p>
            <w:r/>
            <w:r>
              <w:rPr>
                <w:b w:val="0"/>
                <w:sz w:val="18"/>
              </w:rPr>
              <w:t>docs/SEPARATION.md</w:t>
            </w:r>
          </w:p>
        </w:tc>
        <w:tc>
          <w:tcPr>
            <w:tcW w:type="dxa" w:w="4320"/>
            <w:vAlign w:val="top"/>
          </w:tcPr>
          <w:p>
            <w:r/>
            <w:r>
              <w:rPr>
                <w:b w:val="0"/>
                <w:sz w:val="18"/>
              </w:rPr>
              <w:t>States that RunLab may consume evidence-ai-core later but must not contain TraceLab lab/instrument records.</w:t>
            </w:r>
          </w:p>
        </w:tc>
        <w:tc>
          <w:tcPr>
            <w:tcW w:type="dxa" w:w="4464"/>
            <w:vAlign w:val="top"/>
          </w:tcPr>
          <w:p>
            <w:r/>
            <w:r>
              <w:rPr>
                <w:b w:val="0"/>
                <w:sz w:val="18"/>
              </w:rPr>
              <w:t>Prevents Project 2 from drifting into Project 3.</w:t>
            </w:r>
          </w:p>
        </w:tc>
      </w:tr>
      <w:tr>
        <w:tc>
          <w:tcPr>
            <w:tcW w:type="dxa" w:w="2304"/>
            <w:vAlign w:val="top"/>
          </w:tcPr>
          <w:p>
            <w:r/>
            <w:r>
              <w:rPr>
                <w:b w:val="0"/>
                <w:sz w:val="18"/>
              </w:rPr>
              <w:t>pyproject.toml</w:t>
            </w:r>
          </w:p>
        </w:tc>
        <w:tc>
          <w:tcPr>
            <w:tcW w:type="dxa" w:w="4320"/>
            <w:vAlign w:val="top"/>
          </w:tcPr>
          <w:p>
            <w:r/>
            <w:r>
              <w:rPr>
                <w:b w:val="0"/>
                <w:sz w:val="18"/>
              </w:rPr>
              <w:t>Defines package run-lab and console script run-lab.</w:t>
            </w:r>
          </w:p>
        </w:tc>
        <w:tc>
          <w:tcPr>
            <w:tcW w:type="dxa" w:w="4464"/>
            <w:vAlign w:val="top"/>
          </w:tcPr>
          <w:p>
            <w:r/>
            <w:r>
              <w:rPr>
                <w:b w:val="0"/>
                <w:sz w:val="18"/>
              </w:rPr>
              <w:t>Confirms concrete code identity.</w:t>
            </w:r>
          </w:p>
        </w:tc>
      </w:tr>
      <w:tr>
        <w:tc>
          <w:tcPr>
            <w:tcW w:type="dxa" w:w="2304"/>
            <w:vAlign w:val="top"/>
          </w:tcPr>
          <w:p>
            <w:r/>
            <w:r>
              <w:rPr>
                <w:b w:val="0"/>
                <w:sz w:val="18"/>
              </w:rPr>
              <w:t>workspace.py</w:t>
            </w:r>
          </w:p>
        </w:tc>
        <w:tc>
          <w:tcPr>
            <w:tcW w:type="dxa" w:w="4320"/>
            <w:vAlign w:val="top"/>
          </w:tcPr>
          <w:p>
            <w:r/>
            <w:r>
              <w:rPr>
                <w:b w:val="0"/>
                <w:sz w:val="18"/>
              </w:rPr>
              <w:t>Creates workspace directories, config, demo query job, static demo index, and template placeholder.</w:t>
            </w:r>
          </w:p>
        </w:tc>
        <w:tc>
          <w:tcPr>
            <w:tcW w:type="dxa" w:w="4464"/>
            <w:vAlign w:val="top"/>
          </w:tcPr>
          <w:p>
            <w:r/>
            <w:r>
              <w:rPr>
                <w:b w:val="0"/>
                <w:sz w:val="18"/>
              </w:rPr>
              <w:t>Implements the local-first workspace skeleton.</w:t>
            </w:r>
          </w:p>
        </w:tc>
      </w:tr>
      <w:tr>
        <w:tc>
          <w:tcPr>
            <w:tcW w:type="dxa" w:w="2304"/>
            <w:vAlign w:val="top"/>
          </w:tcPr>
          <w:p>
            <w:r/>
            <w:r>
              <w:rPr>
                <w:b w:val="0"/>
                <w:sz w:val="18"/>
              </w:rPr>
              <w:t>runner.py</w:t>
            </w:r>
          </w:p>
        </w:tc>
        <w:tc>
          <w:tcPr>
            <w:tcW w:type="dxa" w:w="4320"/>
            <w:vAlign w:val="top"/>
          </w:tcPr>
          <w:p>
            <w:r/>
            <w:r>
              <w:rPr>
                <w:b w:val="0"/>
                <w:sz w:val="18"/>
              </w:rPr>
              <w:t>Creates run directories, copies inputs, writes records, context pack, placeholder notebook, reports, artifact manifest, and replay manifest.</w:t>
            </w:r>
          </w:p>
        </w:tc>
        <w:tc>
          <w:tcPr>
            <w:tcW w:type="dxa" w:w="4464"/>
            <w:vAlign w:val="top"/>
          </w:tcPr>
          <w:p>
            <w:r/>
            <w:r>
              <w:rPr>
                <w:b w:val="0"/>
                <w:sz w:val="18"/>
              </w:rPr>
              <w:t>Implements the first evidence-packet producing scaffold.</w:t>
            </w:r>
          </w:p>
        </w:tc>
      </w:tr>
      <w:tr>
        <w:tc>
          <w:tcPr>
            <w:tcW w:type="dxa" w:w="2304"/>
            <w:vAlign w:val="top"/>
          </w:tcPr>
          <w:p>
            <w:r/>
            <w:r>
              <w:rPr>
                <w:b w:val="0"/>
                <w:sz w:val="18"/>
              </w:rPr>
              <w:t>verify.py</w:t>
            </w:r>
          </w:p>
        </w:tc>
        <w:tc>
          <w:tcPr>
            <w:tcW w:type="dxa" w:w="4320"/>
            <w:vAlign w:val="top"/>
          </w:tcPr>
          <w:p>
            <w:r/>
            <w:r>
              <w:rPr>
                <w:b w:val="0"/>
                <w:sz w:val="18"/>
              </w:rPr>
              <w:t>Checks required artifacts and JSON parseability, then reports mechanical verification status.</w:t>
            </w:r>
          </w:p>
        </w:tc>
        <w:tc>
          <w:tcPr>
            <w:tcW w:type="dxa" w:w="4464"/>
            <w:vAlign w:val="top"/>
          </w:tcPr>
          <w:p>
            <w:r/>
            <w:r>
              <w:rPr>
                <w:b w:val="0"/>
                <w:sz w:val="18"/>
              </w:rPr>
              <w:t>Implements verification without validation.</w:t>
            </w:r>
          </w:p>
        </w:tc>
      </w:tr>
      <w:tr>
        <w:tc>
          <w:tcPr>
            <w:tcW w:type="dxa" w:w="2304"/>
            <w:vAlign w:val="top"/>
          </w:tcPr>
          <w:p>
            <w:r/>
            <w:r>
              <w:rPr>
                <w:b w:val="0"/>
                <w:sz w:val="18"/>
              </w:rPr>
              <w:t>replay.py</w:t>
            </w:r>
          </w:p>
        </w:tc>
        <w:tc>
          <w:tcPr>
            <w:tcW w:type="dxa" w:w="4320"/>
            <w:vAlign w:val="top"/>
          </w:tcPr>
          <w:p>
            <w:r/>
            <w:r>
              <w:rPr>
                <w:b w:val="0"/>
                <w:sz w:val="18"/>
              </w:rPr>
              <w:t>Reads replay manifest and returns replay status, scope, limitations, and an authority note.</w:t>
            </w:r>
          </w:p>
        </w:tc>
        <w:tc>
          <w:tcPr>
            <w:tcW w:type="dxa" w:w="4464"/>
            <w:vAlign w:val="top"/>
          </w:tcPr>
          <w:p>
            <w:r/>
            <w:r>
              <w:rPr>
                <w:b w:val="0"/>
                <w:sz w:val="18"/>
              </w:rPr>
              <w:t>Implements replay inspection, not replay success.</w:t>
            </w:r>
          </w:p>
        </w:tc>
      </w:tr>
      <w:tr>
        <w:tc>
          <w:tcPr>
            <w:tcW w:type="dxa" w:w="2304"/>
            <w:vAlign w:val="top"/>
          </w:tcPr>
          <w:p>
            <w:r/>
            <w:r>
              <w:rPr>
                <w:b w:val="0"/>
                <w:sz w:val="18"/>
              </w:rPr>
              <w:t>tests/test_run_lab.py</w:t>
            </w:r>
          </w:p>
        </w:tc>
        <w:tc>
          <w:tcPr>
            <w:tcW w:type="dxa" w:w="4320"/>
            <w:vAlign w:val="top"/>
          </w:tcPr>
          <w:p>
            <w:r/>
            <w:r>
              <w:rPr>
                <w:b w:val="0"/>
                <w:sz w:val="18"/>
              </w:rPr>
              <w:t>Smoke test for workspace, run, verify, report existence, and TraceLab exclusion.</w:t>
            </w:r>
          </w:p>
        </w:tc>
        <w:tc>
          <w:tcPr>
            <w:tcW w:type="dxa" w:w="4464"/>
            <w:vAlign w:val="top"/>
          </w:tcPr>
          <w:p>
            <w:r/>
            <w:r>
              <w:rPr>
                <w:b w:val="0"/>
                <w:sz w:val="18"/>
              </w:rPr>
              <w:t>Proves scaffold-level behavior.</w:t>
            </w:r>
          </w:p>
        </w:tc>
      </w:tr>
    </w:tbl>
    <w:p/>
    <w:p>
      <w:pPr>
        <w:pStyle w:val="Heading1"/>
      </w:pPr>
      <w:r>
        <w:t>6. Current implemented workflow</w:t>
      </w:r>
    </w:p>
    <w:p>
      <w:r>
        <w:t>The current scaffold supports a simple local workflow. The user initializes a workspace, receives a demo query job and static local demo index, runs the demo, and verifies the resulting run packet. This is intentionally not a full txtai/Papermill execution yet. The scaffold labels notebook execution as placeholder_no_papermill and static_placeholder_no_papermill. That honesty is useful: it prevents the paper from overstating the implementation while still documenting the intended architecture.</w:t>
      </w:r>
    </w:p>
    <w:p>
      <w:r>
        <w:rPr>
          <w:rFonts w:ascii="Courier New" w:hAnsi="Courier New" w:eastAsia="Courier New"/>
          <w:sz w:val="17"/>
        </w:rPr>
        <w:t>run-lab init ./research-evidence</w:t>
        <w:br/>
      </w:r>
      <w:r>
        <w:rPr>
          <w:rFonts w:ascii="Courier New" w:hAnsi="Courier New" w:eastAsia="Courier New"/>
          <w:sz w:val="17"/>
        </w:rPr>
        <w:t>run-lab inspect ./research-evidence</w:t>
        <w:br/>
      </w:r>
      <w:r>
        <w:rPr>
          <w:rFonts w:ascii="Courier New" w:hAnsi="Courier New" w:eastAsia="Courier New"/>
          <w:sz w:val="17"/>
        </w:rPr>
        <w:t>run-lab run --workspace ./research-evidence --query-job jobs/rag_literature_demo.json --output-prefix demo --render html</w:t>
        <w:br/>
      </w:r>
      <w:r>
        <w:rPr>
          <w:rFonts w:ascii="Courier New" w:hAnsi="Courier New" w:eastAsia="Courier New"/>
          <w:sz w:val="17"/>
        </w:rPr>
        <w:t>run-lab verify ./research-evidence/runs/demo</w:t>
        <w:br/>
      </w:r>
      <w:r>
        <w:rPr>
          <w:rFonts w:ascii="Courier New" w:hAnsi="Courier New" w:eastAsia="Courier New"/>
          <w:sz w:val="17"/>
        </w:rPr>
        <w:t>run-lab replay ./research-evidence/runs/demo/records/replay_manifest.json</w:t>
        <w:br/>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r/>
            <w:r>
              <w:rPr>
                <w:b/>
                <w:sz w:val="18"/>
              </w:rPr>
              <w:t>Workflow step</w:t>
            </w:r>
          </w:p>
        </w:tc>
        <w:tc>
          <w:tcPr>
            <w:tcW w:type="dxa" w:w="4320"/>
            <w:shd w:fill="D9EAF7"/>
            <w:vAlign w:val="center"/>
          </w:tcPr>
          <w:p>
            <w:r/>
            <w:r>
              <w:rPr>
                <w:b/>
                <w:sz w:val="18"/>
              </w:rPr>
              <w:t>Current scaffold behavior</w:t>
            </w:r>
          </w:p>
        </w:tc>
        <w:tc>
          <w:tcPr>
            <w:tcW w:type="dxa" w:w="4608"/>
            <w:shd w:fill="D9EAF7"/>
            <w:vAlign w:val="center"/>
          </w:tcPr>
          <w:p>
            <w:r/>
            <w:r>
              <w:rPr>
                <w:b/>
                <w:sz w:val="18"/>
              </w:rPr>
              <w:t>Future v0.1 target</w:t>
            </w:r>
          </w:p>
        </w:tc>
      </w:tr>
      <w:tr>
        <w:tc>
          <w:tcPr>
            <w:tcW w:type="dxa" w:w="2160"/>
            <w:vAlign w:val="top"/>
          </w:tcPr>
          <w:p>
            <w:r/>
            <w:r>
              <w:rPr>
                <w:b w:val="0"/>
                <w:sz w:val="18"/>
              </w:rPr>
              <w:t>Create workspace</w:t>
            </w:r>
          </w:p>
        </w:tc>
        <w:tc>
          <w:tcPr>
            <w:tcW w:type="dxa" w:w="4320"/>
            <w:vAlign w:val="top"/>
          </w:tcPr>
          <w:p>
            <w:r/>
            <w:r>
              <w:rPr>
                <w:b w:val="0"/>
                <w:sz w:val="18"/>
              </w:rPr>
              <w:t>Implemented by init_workspace with jobs, indexes, notebooks/templates, runs, and reports directories.</w:t>
            </w:r>
          </w:p>
        </w:tc>
        <w:tc>
          <w:tcPr>
            <w:tcW w:type="dxa" w:w="4608"/>
            <w:vAlign w:val="top"/>
          </w:tcPr>
          <w:p>
            <w:r/>
            <w:r>
              <w:rPr>
                <w:b w:val="0"/>
                <w:sz w:val="18"/>
              </w:rPr>
              <w:t>Expand to full notebook class layout and richer config.</w:t>
            </w:r>
          </w:p>
        </w:tc>
      </w:tr>
      <w:tr>
        <w:tc>
          <w:tcPr>
            <w:tcW w:type="dxa" w:w="2160"/>
            <w:vAlign w:val="top"/>
          </w:tcPr>
          <w:p>
            <w:r/>
            <w:r>
              <w:rPr>
                <w:b w:val="0"/>
                <w:sz w:val="18"/>
              </w:rPr>
              <w:t>Add query job</w:t>
            </w:r>
          </w:p>
        </w:tc>
        <w:tc>
          <w:tcPr>
            <w:tcW w:type="dxa" w:w="4320"/>
            <w:vAlign w:val="top"/>
          </w:tcPr>
          <w:p>
            <w:r/>
            <w:r>
              <w:rPr>
                <w:b w:val="0"/>
                <w:sz w:val="18"/>
              </w:rPr>
              <w:t>Demo job is created as jobs/rag_literature_demo.json.</w:t>
            </w:r>
          </w:p>
        </w:tc>
        <w:tc>
          <w:tcPr>
            <w:tcW w:type="dxa" w:w="4608"/>
            <w:vAlign w:val="top"/>
          </w:tcPr>
          <w:p>
            <w:r/>
            <w:r>
              <w:rPr>
                <w:b w:val="0"/>
                <w:sz w:val="18"/>
              </w:rPr>
              <w:t>Accept user-authored query jobs with stronger schema checks.</w:t>
            </w:r>
          </w:p>
        </w:tc>
      </w:tr>
      <w:tr>
        <w:tc>
          <w:tcPr>
            <w:tcW w:type="dxa" w:w="2160"/>
            <w:vAlign w:val="top"/>
          </w:tcPr>
          <w:p>
            <w:r/>
            <w:r>
              <w:rPr>
                <w:b w:val="0"/>
                <w:sz w:val="18"/>
              </w:rPr>
              <w:t>Select index reference</w:t>
            </w:r>
          </w:p>
        </w:tc>
        <w:tc>
          <w:tcPr>
            <w:tcW w:type="dxa" w:w="4320"/>
            <w:vAlign w:val="top"/>
          </w:tcPr>
          <w:p>
            <w:r/>
            <w:r>
              <w:rPr>
                <w:b w:val="0"/>
                <w:sz w:val="18"/>
              </w:rPr>
              <w:t>Demo job points to indexes/local_demo_index.json.</w:t>
            </w:r>
          </w:p>
        </w:tc>
        <w:tc>
          <w:tcPr>
            <w:tcW w:type="dxa" w:w="4608"/>
            <w:vAlign w:val="top"/>
          </w:tcPr>
          <w:p>
            <w:r/>
            <w:r>
              <w:rPr>
                <w:b w:val="0"/>
                <w:sz w:val="18"/>
              </w:rPr>
              <w:t>Resolve explicit txtai/local index references.</w:t>
            </w:r>
          </w:p>
        </w:tc>
      </w:tr>
      <w:tr>
        <w:tc>
          <w:tcPr>
            <w:tcW w:type="dxa" w:w="2160"/>
            <w:vAlign w:val="top"/>
          </w:tcPr>
          <w:p>
            <w:r/>
            <w:r>
              <w:rPr>
                <w:b w:val="0"/>
                <w:sz w:val="18"/>
              </w:rPr>
              <w:t>Run official notebook</w:t>
            </w:r>
          </w:p>
        </w:tc>
        <w:tc>
          <w:tcPr>
            <w:tcW w:type="dxa" w:w="4320"/>
            <w:vAlign w:val="top"/>
          </w:tcPr>
          <w:p>
            <w:r/>
            <w:r>
              <w:rPr>
                <w:b w:val="0"/>
                <w:sz w:val="18"/>
              </w:rPr>
              <w:t>Writes placeholder executed notebook and parameter file.</w:t>
            </w:r>
          </w:p>
        </w:tc>
        <w:tc>
          <w:tcPr>
            <w:tcW w:type="dxa" w:w="4608"/>
            <w:vAlign w:val="top"/>
          </w:tcPr>
          <w:p>
            <w:r/>
            <w:r>
              <w:rPr>
                <w:b w:val="0"/>
                <w:sz w:val="18"/>
              </w:rPr>
              <w:t>Execute official parameterized template through Papermill or equivalent.</w:t>
            </w:r>
          </w:p>
        </w:tc>
      </w:tr>
      <w:tr>
        <w:tc>
          <w:tcPr>
            <w:tcW w:type="dxa" w:w="2160"/>
            <w:vAlign w:val="top"/>
          </w:tcPr>
          <w:p>
            <w:r/>
            <w:r>
              <w:rPr>
                <w:b w:val="0"/>
                <w:sz w:val="18"/>
              </w:rPr>
              <w:t>Retrieve sources</w:t>
            </w:r>
          </w:p>
        </w:tc>
        <w:tc>
          <w:tcPr>
            <w:tcW w:type="dxa" w:w="4320"/>
            <w:vAlign w:val="top"/>
          </w:tcPr>
          <w:p>
            <w:r/>
            <w:r>
              <w:rPr>
                <w:b w:val="0"/>
                <w:sz w:val="18"/>
              </w:rPr>
              <w:t>Uses static_local_demo records from local JSON.</w:t>
            </w:r>
          </w:p>
        </w:tc>
        <w:tc>
          <w:tcPr>
            <w:tcW w:type="dxa" w:w="4608"/>
            <w:vAlign w:val="top"/>
          </w:tcPr>
          <w:p>
            <w:r/>
            <w:r>
              <w:rPr>
                <w:b w:val="0"/>
                <w:sz w:val="18"/>
              </w:rPr>
              <w:t>Use txtai retrieval while preserving backend/config/result metadata.</w:t>
            </w:r>
          </w:p>
        </w:tc>
      </w:tr>
      <w:tr>
        <w:tc>
          <w:tcPr>
            <w:tcW w:type="dxa" w:w="2160"/>
            <w:vAlign w:val="top"/>
          </w:tcPr>
          <w:p>
            <w:r/>
            <w:r>
              <w:rPr>
                <w:b w:val="0"/>
                <w:sz w:val="18"/>
              </w:rPr>
              <w:t>Render report</w:t>
            </w:r>
          </w:p>
        </w:tc>
        <w:tc>
          <w:tcPr>
            <w:tcW w:type="dxa" w:w="4320"/>
            <w:vAlign w:val="top"/>
          </w:tcPr>
          <w:p>
            <w:r/>
            <w:r>
              <w:rPr>
                <w:b w:val="0"/>
                <w:sz w:val="18"/>
              </w:rPr>
              <w:t>Writes Markdown and optional HTML demo report.</w:t>
            </w:r>
          </w:p>
        </w:tc>
        <w:tc>
          <w:tcPr>
            <w:tcW w:type="dxa" w:w="4608"/>
            <w:vAlign w:val="top"/>
          </w:tcPr>
          <w:p>
            <w:r/>
            <w:r>
              <w:rPr>
                <w:b w:val="0"/>
                <w:sz w:val="18"/>
              </w:rPr>
              <w:t>Render richer report with citations and evidence references.</w:t>
            </w:r>
          </w:p>
        </w:tc>
      </w:tr>
      <w:tr>
        <w:tc>
          <w:tcPr>
            <w:tcW w:type="dxa" w:w="2160"/>
            <w:vAlign w:val="top"/>
          </w:tcPr>
          <w:p>
            <w:r/>
            <w:r>
              <w:rPr>
                <w:b w:val="0"/>
                <w:sz w:val="18"/>
              </w:rPr>
              <w:t>Verify packet</w:t>
            </w:r>
          </w:p>
        </w:tc>
        <w:tc>
          <w:tcPr>
            <w:tcW w:type="dxa" w:w="4320"/>
            <w:vAlign w:val="top"/>
          </w:tcPr>
          <w:p>
            <w:r/>
            <w:r>
              <w:rPr>
                <w:b w:val="0"/>
                <w:sz w:val="18"/>
              </w:rPr>
              <w:t>Checks required file presence and JSON parseability.</w:t>
            </w:r>
          </w:p>
        </w:tc>
        <w:tc>
          <w:tcPr>
            <w:tcW w:type="dxa" w:w="4608"/>
            <w:vAlign w:val="top"/>
          </w:tcPr>
          <w:p>
            <w:r/>
            <w:r>
              <w:rPr>
                <w:b w:val="0"/>
                <w:sz w:val="18"/>
              </w:rPr>
              <w:t>Add required-field, authority-flag, hash, and path consistency checks.</w:t>
            </w:r>
          </w:p>
        </w:tc>
      </w:tr>
      <w:tr>
        <w:tc>
          <w:tcPr>
            <w:tcW w:type="dxa" w:w="2160"/>
            <w:vAlign w:val="top"/>
          </w:tcPr>
          <w:p>
            <w:r/>
            <w:r>
              <w:rPr>
                <w:b w:val="0"/>
                <w:sz w:val="18"/>
              </w:rPr>
              <w:t>Replay</w:t>
            </w:r>
          </w:p>
        </w:tc>
        <w:tc>
          <w:tcPr>
            <w:tcW w:type="dxa" w:w="4320"/>
            <w:vAlign w:val="top"/>
          </w:tcPr>
          <w:p>
            <w:r/>
            <w:r>
              <w:rPr>
                <w:b w:val="0"/>
                <w:sz w:val="18"/>
              </w:rPr>
              <w:t>Inspects replay manifest and limitations.</w:t>
            </w:r>
          </w:p>
        </w:tc>
        <w:tc>
          <w:tcPr>
            <w:tcW w:type="dxa" w:w="4608"/>
            <w:vAlign w:val="top"/>
          </w:tcPr>
          <w:p>
            <w:r/>
            <w:r>
              <w:rPr>
                <w:b w:val="0"/>
                <w:sz w:val="18"/>
              </w:rPr>
              <w:t>Support bounded replay or replay dry-run.</w:t>
            </w:r>
          </w:p>
        </w:tc>
      </w:tr>
    </w:tbl>
    <w:p/>
    <w:p>
      <w:pPr>
        <w:pStyle w:val="Heading1"/>
      </w:pPr>
      <w:r>
        <w:t>7. Evidence packet model reflected in code</w:t>
      </w:r>
    </w:p>
    <w:p>
      <w:r>
        <w:t>The run packet generated by the scaffold closely matches the previous Project 2 paper’s artifact model. It contains inputs, parameters, executed notebook placeholder, records, context, reports, and logs. The scaffold also adds artifact_manifest.json, which is important because it creates a file inventory with SHA-256 hashes for generated artifacts.</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D9EAF7"/>
            <w:vAlign w:val="center"/>
          </w:tcPr>
          <w:p>
            <w:r/>
            <w:r>
              <w:rPr>
                <w:b/>
                <w:sz w:val="18"/>
              </w:rPr>
              <w:t>Artifact</w:t>
            </w:r>
          </w:p>
        </w:tc>
        <w:tc>
          <w:tcPr>
            <w:tcW w:type="dxa" w:w="3888"/>
            <w:shd w:fill="D9EAF7"/>
            <w:vAlign w:val="center"/>
          </w:tcPr>
          <w:p>
            <w:r/>
            <w:r>
              <w:rPr>
                <w:b/>
                <w:sz w:val="18"/>
              </w:rPr>
              <w:t>Current status in code</w:t>
            </w:r>
          </w:p>
        </w:tc>
        <w:tc>
          <w:tcPr>
            <w:tcW w:type="dxa" w:w="4464"/>
            <w:shd w:fill="D9EAF7"/>
            <w:vAlign w:val="center"/>
          </w:tcPr>
          <w:p>
            <w:r/>
            <w:r>
              <w:rPr>
                <w:b/>
                <w:sz w:val="18"/>
              </w:rPr>
              <w:t>Meaning</w:t>
            </w:r>
          </w:p>
        </w:tc>
      </w:tr>
      <w:tr>
        <w:tc>
          <w:tcPr>
            <w:tcW w:type="dxa" w:w="2736"/>
            <w:vAlign w:val="top"/>
          </w:tcPr>
          <w:p>
            <w:r/>
            <w:r>
              <w:rPr>
                <w:b w:val="0"/>
                <w:sz w:val="18"/>
              </w:rPr>
              <w:t>inputs/query_job.json</w:t>
            </w:r>
          </w:p>
        </w:tc>
        <w:tc>
          <w:tcPr>
            <w:tcW w:type="dxa" w:w="3888"/>
            <w:vAlign w:val="top"/>
          </w:tcPr>
          <w:p>
            <w:r/>
            <w:r>
              <w:rPr>
                <w:b w:val="0"/>
                <w:sz w:val="18"/>
              </w:rPr>
              <w:t>Copied from workspace job.</w:t>
            </w:r>
          </w:p>
        </w:tc>
        <w:tc>
          <w:tcPr>
            <w:tcW w:type="dxa" w:w="4464"/>
            <w:vAlign w:val="top"/>
          </w:tcPr>
          <w:p>
            <w:r/>
            <w:r>
              <w:rPr>
                <w:b w:val="0"/>
                <w:sz w:val="18"/>
              </w:rPr>
              <w:t>Preserves research request and query intent.</w:t>
            </w:r>
          </w:p>
        </w:tc>
      </w:tr>
      <w:tr>
        <w:tc>
          <w:tcPr>
            <w:tcW w:type="dxa" w:w="2736"/>
            <w:vAlign w:val="top"/>
          </w:tcPr>
          <w:p>
            <w:r/>
            <w:r>
              <w:rPr>
                <w:b w:val="0"/>
                <w:sz w:val="18"/>
              </w:rPr>
              <w:t>inputs/index_reference.json</w:t>
            </w:r>
          </w:p>
        </w:tc>
        <w:tc>
          <w:tcPr>
            <w:tcW w:type="dxa" w:w="3888"/>
            <w:vAlign w:val="top"/>
          </w:tcPr>
          <w:p>
            <w:r/>
            <w:r>
              <w:rPr>
                <w:b w:val="0"/>
                <w:sz w:val="18"/>
              </w:rPr>
              <w:t>Copied from static local demo index.</w:t>
            </w:r>
          </w:p>
        </w:tc>
        <w:tc>
          <w:tcPr>
            <w:tcW w:type="dxa" w:w="4464"/>
            <w:vAlign w:val="top"/>
          </w:tcPr>
          <w:p>
            <w:r/>
            <w:r>
              <w:rPr>
                <w:b w:val="0"/>
                <w:sz w:val="18"/>
              </w:rPr>
              <w:t>Preserves index/corpus reference.</w:t>
            </w:r>
          </w:p>
        </w:tc>
      </w:tr>
      <w:tr>
        <w:tc>
          <w:tcPr>
            <w:tcW w:type="dxa" w:w="2736"/>
            <w:vAlign w:val="top"/>
          </w:tcPr>
          <w:p>
            <w:r/>
            <w:r>
              <w:rPr>
                <w:b w:val="0"/>
                <w:sz w:val="18"/>
              </w:rPr>
              <w:t>parameters/papermill_parameters.json</w:t>
            </w:r>
          </w:p>
        </w:tc>
        <w:tc>
          <w:tcPr>
            <w:tcW w:type="dxa" w:w="3888"/>
            <w:vAlign w:val="top"/>
          </w:tcPr>
          <w:p>
            <w:r/>
            <w:r>
              <w:rPr>
                <w:b w:val="0"/>
                <w:sz w:val="18"/>
              </w:rPr>
              <w:t>Written with execution_mode=placeholder_no_papermill.</w:t>
            </w:r>
          </w:p>
        </w:tc>
        <w:tc>
          <w:tcPr>
            <w:tcW w:type="dxa" w:w="4464"/>
            <w:vAlign w:val="top"/>
          </w:tcPr>
          <w:p>
            <w:r/>
            <w:r>
              <w:rPr>
                <w:b w:val="0"/>
                <w:sz w:val="18"/>
              </w:rPr>
              <w:t>Acknowledges future Papermill parameter path without claiming it exists now.</w:t>
            </w:r>
          </w:p>
        </w:tc>
      </w:tr>
      <w:tr>
        <w:tc>
          <w:tcPr>
            <w:tcW w:type="dxa" w:w="2736"/>
            <w:vAlign w:val="top"/>
          </w:tcPr>
          <w:p>
            <w:r/>
            <w:r>
              <w:rPr>
                <w:b w:val="0"/>
                <w:sz w:val="18"/>
              </w:rPr>
              <w:t>records/retrieval_record.json</w:t>
            </w:r>
          </w:p>
        </w:tc>
        <w:tc>
          <w:tcPr>
            <w:tcW w:type="dxa" w:w="3888"/>
            <w:vAlign w:val="top"/>
          </w:tcPr>
          <w:p>
            <w:r/>
            <w:r>
              <w:rPr>
                <w:b w:val="0"/>
                <w:sz w:val="18"/>
              </w:rPr>
              <w:t>Written with backend=static_local_demo and selected result records.</w:t>
            </w:r>
          </w:p>
        </w:tc>
        <w:tc>
          <w:tcPr>
            <w:tcW w:type="dxa" w:w="4464"/>
            <w:vAlign w:val="top"/>
          </w:tcPr>
          <w:p>
            <w:r/>
            <w:r>
              <w:rPr>
                <w:b w:val="0"/>
                <w:sz w:val="18"/>
              </w:rPr>
              <w:t>Captures retrieval evidence for inspection.</w:t>
            </w:r>
          </w:p>
        </w:tc>
      </w:tr>
      <w:tr>
        <w:tc>
          <w:tcPr>
            <w:tcW w:type="dxa" w:w="2736"/>
            <w:vAlign w:val="top"/>
          </w:tcPr>
          <w:p>
            <w:r/>
            <w:r>
              <w:rPr>
                <w:b w:val="0"/>
                <w:sz w:val="18"/>
              </w:rPr>
              <w:t>records/source_citations.json</w:t>
            </w:r>
          </w:p>
        </w:tc>
        <w:tc>
          <w:tcPr>
            <w:tcW w:type="dxa" w:w="3888"/>
            <w:vAlign w:val="top"/>
          </w:tcPr>
          <w:p>
            <w:r/>
            <w:r>
              <w:rPr>
                <w:b w:val="0"/>
                <w:sz w:val="18"/>
              </w:rPr>
              <w:t>Written with citation IDs and support_status=not_evaluated.</w:t>
            </w:r>
          </w:p>
        </w:tc>
        <w:tc>
          <w:tcPr>
            <w:tcW w:type="dxa" w:w="4464"/>
            <w:vAlign w:val="top"/>
          </w:tcPr>
          <w:p>
            <w:r/>
            <w:r>
              <w:rPr>
                <w:b w:val="0"/>
                <w:sz w:val="18"/>
              </w:rPr>
              <w:t>Preserves citation locator records without claiming source support was validated.</w:t>
            </w:r>
          </w:p>
        </w:tc>
      </w:tr>
      <w:tr>
        <w:tc>
          <w:tcPr>
            <w:tcW w:type="dxa" w:w="2736"/>
            <w:vAlign w:val="top"/>
          </w:tcPr>
          <w:p>
            <w:r/>
            <w:r>
              <w:rPr>
                <w:b w:val="0"/>
                <w:sz w:val="18"/>
              </w:rPr>
              <w:t>context/context_pack.md</w:t>
            </w:r>
          </w:p>
        </w:tc>
        <w:tc>
          <w:tcPr>
            <w:tcW w:type="dxa" w:w="3888"/>
            <w:vAlign w:val="top"/>
          </w:tcPr>
          <w:p>
            <w:r/>
            <w:r>
              <w:rPr>
                <w:b w:val="0"/>
                <w:sz w:val="18"/>
              </w:rPr>
              <w:t>Written as a readable source/context summary.</w:t>
            </w:r>
          </w:p>
        </w:tc>
        <w:tc>
          <w:tcPr>
            <w:tcW w:type="dxa" w:w="4464"/>
            <w:vAlign w:val="top"/>
          </w:tcPr>
          <w:p>
            <w:r/>
            <w:r>
              <w:rPr>
                <w:b w:val="0"/>
                <w:sz w:val="18"/>
              </w:rPr>
              <w:t>Human-readable bridge between retrieval and report.</w:t>
            </w:r>
          </w:p>
        </w:tc>
      </w:tr>
      <w:tr>
        <w:tc>
          <w:tcPr>
            <w:tcW w:type="dxa" w:w="2736"/>
            <w:vAlign w:val="top"/>
          </w:tcPr>
          <w:p>
            <w:r/>
            <w:r>
              <w:rPr>
                <w:b w:val="0"/>
                <w:sz w:val="18"/>
              </w:rPr>
              <w:t>executed/&lt;run&gt;.executed.ipynb</w:t>
            </w:r>
          </w:p>
        </w:tc>
        <w:tc>
          <w:tcPr>
            <w:tcW w:type="dxa" w:w="3888"/>
            <w:vAlign w:val="top"/>
          </w:tcPr>
          <w:p>
            <w:r/>
            <w:r>
              <w:rPr>
                <w:b w:val="0"/>
                <w:sz w:val="18"/>
              </w:rPr>
              <w:t>Written as a placeholder nbformat notebook.</w:t>
            </w:r>
          </w:p>
        </w:tc>
        <w:tc>
          <w:tcPr>
            <w:tcW w:type="dxa" w:w="4464"/>
            <w:vAlign w:val="top"/>
          </w:tcPr>
          <w:p>
            <w:r/>
            <w:r>
              <w:rPr>
                <w:b w:val="0"/>
                <w:sz w:val="18"/>
              </w:rPr>
              <w:t>Reserves the executed-notebook artifact path.</w:t>
            </w:r>
          </w:p>
        </w:tc>
      </w:tr>
      <w:tr>
        <w:tc>
          <w:tcPr>
            <w:tcW w:type="dxa" w:w="2736"/>
            <w:vAlign w:val="top"/>
          </w:tcPr>
          <w:p>
            <w:r/>
            <w:r>
              <w:rPr>
                <w:b w:val="0"/>
                <w:sz w:val="18"/>
              </w:rPr>
              <w:t>records/notebook_run_record.json</w:t>
            </w:r>
          </w:p>
        </w:tc>
        <w:tc>
          <w:tcPr>
            <w:tcW w:type="dxa" w:w="3888"/>
            <w:vAlign w:val="top"/>
          </w:tcPr>
          <w:p>
            <w:r/>
            <w:r>
              <w:rPr>
                <w:b w:val="0"/>
                <w:sz w:val="18"/>
              </w:rPr>
              <w:t>Written with placeholder execution status and authority flags.</w:t>
            </w:r>
          </w:p>
        </w:tc>
        <w:tc>
          <w:tcPr>
            <w:tcW w:type="dxa" w:w="4464"/>
            <w:vAlign w:val="top"/>
          </w:tcPr>
          <w:p>
            <w:r/>
            <w:r>
              <w:rPr>
                <w:b w:val="0"/>
                <w:sz w:val="18"/>
              </w:rPr>
              <w:t>Records notebook execution metadata without overclaiming.</w:t>
            </w:r>
          </w:p>
        </w:tc>
      </w:tr>
      <w:tr>
        <w:tc>
          <w:tcPr>
            <w:tcW w:type="dxa" w:w="2736"/>
            <w:vAlign w:val="top"/>
          </w:tcPr>
          <w:p>
            <w:r/>
            <w:r>
              <w:rPr>
                <w:b w:val="0"/>
                <w:sz w:val="18"/>
              </w:rPr>
              <w:t>records/environment_report.json</w:t>
            </w:r>
          </w:p>
        </w:tc>
        <w:tc>
          <w:tcPr>
            <w:tcW w:type="dxa" w:w="3888"/>
            <w:vAlign w:val="top"/>
          </w:tcPr>
          <w:p>
            <w:r/>
            <w:r>
              <w:rPr>
                <w:b w:val="0"/>
                <w:sz w:val="18"/>
              </w:rPr>
              <w:t>Written as partial_static_capture.</w:t>
            </w:r>
          </w:p>
        </w:tc>
        <w:tc>
          <w:tcPr>
            <w:tcW w:type="dxa" w:w="4464"/>
            <w:vAlign w:val="top"/>
          </w:tcPr>
          <w:p>
            <w:r/>
            <w:r>
              <w:rPr>
                <w:b w:val="0"/>
                <w:sz w:val="18"/>
              </w:rPr>
              <w:t>Records environment posture but does not dump a full environment yet.</w:t>
            </w:r>
          </w:p>
        </w:tc>
      </w:tr>
      <w:tr>
        <w:tc>
          <w:tcPr>
            <w:tcW w:type="dxa" w:w="2736"/>
            <w:vAlign w:val="top"/>
          </w:tcPr>
          <w:p>
            <w:r/>
            <w:r>
              <w:rPr>
                <w:b w:val="0"/>
                <w:sz w:val="18"/>
              </w:rPr>
              <w:t>reports/rendered_report.md/html</w:t>
            </w:r>
          </w:p>
        </w:tc>
        <w:tc>
          <w:tcPr>
            <w:tcW w:type="dxa" w:w="3888"/>
            <w:vAlign w:val="top"/>
          </w:tcPr>
          <w:p>
            <w:r/>
            <w:r>
              <w:rPr>
                <w:b w:val="0"/>
                <w:sz w:val="18"/>
              </w:rPr>
              <w:t>Written as simple demo report.</w:t>
            </w:r>
          </w:p>
        </w:tc>
        <w:tc>
          <w:tcPr>
            <w:tcW w:type="dxa" w:w="4464"/>
            <w:vAlign w:val="top"/>
          </w:tcPr>
          <w:p>
            <w:r/>
            <w:r>
              <w:rPr>
                <w:b w:val="0"/>
                <w:sz w:val="18"/>
              </w:rPr>
              <w:t>Human-facing report output.</w:t>
            </w:r>
          </w:p>
        </w:tc>
      </w:tr>
      <w:tr>
        <w:tc>
          <w:tcPr>
            <w:tcW w:type="dxa" w:w="2736"/>
            <w:vAlign w:val="top"/>
          </w:tcPr>
          <w:p>
            <w:r/>
            <w:r>
              <w:rPr>
                <w:b w:val="0"/>
                <w:sz w:val="18"/>
              </w:rPr>
              <w:t>records/artifact_manifest.json</w:t>
            </w:r>
          </w:p>
        </w:tc>
        <w:tc>
          <w:tcPr>
            <w:tcW w:type="dxa" w:w="3888"/>
            <w:vAlign w:val="top"/>
          </w:tcPr>
          <w:p>
            <w:r/>
            <w:r>
              <w:rPr>
                <w:b w:val="0"/>
                <w:sz w:val="18"/>
              </w:rPr>
              <w:t>Written with SHA-256 hashes.</w:t>
            </w:r>
          </w:p>
        </w:tc>
        <w:tc>
          <w:tcPr>
            <w:tcW w:type="dxa" w:w="4464"/>
            <w:vAlign w:val="top"/>
          </w:tcPr>
          <w:p>
            <w:r/>
            <w:r>
              <w:rPr>
                <w:b w:val="0"/>
                <w:sz w:val="18"/>
              </w:rPr>
              <w:t>Supports artifact inventory and future reproducibility checks.</w:t>
            </w:r>
          </w:p>
        </w:tc>
      </w:tr>
      <w:tr>
        <w:tc>
          <w:tcPr>
            <w:tcW w:type="dxa" w:w="2736"/>
            <w:vAlign w:val="top"/>
          </w:tcPr>
          <w:p>
            <w:r/>
            <w:r>
              <w:rPr>
                <w:b w:val="0"/>
                <w:sz w:val="18"/>
              </w:rPr>
              <w:t>records/replay_manifest.json</w:t>
            </w:r>
          </w:p>
        </w:tc>
        <w:tc>
          <w:tcPr>
            <w:tcW w:type="dxa" w:w="3888"/>
            <w:vAlign w:val="top"/>
          </w:tcPr>
          <w:p>
            <w:r/>
            <w:r>
              <w:rPr>
                <w:b w:val="0"/>
                <w:sz w:val="18"/>
              </w:rPr>
              <w:t>Written with replay_not_attempted and limitations.</w:t>
            </w:r>
          </w:p>
        </w:tc>
        <w:tc>
          <w:tcPr>
            <w:tcW w:type="dxa" w:w="4464"/>
            <w:vAlign w:val="top"/>
          </w:tcPr>
          <w:p>
            <w:r/>
            <w:r>
              <w:rPr>
                <w:b w:val="0"/>
                <w:sz w:val="18"/>
              </w:rPr>
              <w:t>Makes replay scope honest.</w:t>
            </w:r>
          </w:p>
        </w:tc>
      </w:tr>
    </w:tbl>
    <w:p/>
    <w:p>
      <w:pPr>
        <w:pStyle w:val="Heading1"/>
      </w:pPr>
      <w:r>
        <w:t>8. Authority flags and trust boundaries</w:t>
      </w:r>
    </w:p>
    <w:p>
      <w:r>
        <w:t>The code preserves the same core authority flags from the previous paper: correctness_proven=false, repo_mutated=false, state_promoted=false, and source_control_touched=false. These flags are not minor metadata. They are the product’s trust boundary. They make clear that RunLab can produce evidence and support mechanical verification without claiming scientific correctness, institutional approval, or source-control mutation.</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r/>
            <w:r>
              <w:rPr>
                <w:b/>
                <w:sz w:val="18"/>
              </w:rPr>
              <w:t>Flag</w:t>
            </w:r>
          </w:p>
        </w:tc>
        <w:tc>
          <w:tcPr>
            <w:tcW w:type="dxa" w:w="1440"/>
            <w:shd w:fill="D9EAF7"/>
            <w:vAlign w:val="center"/>
          </w:tcPr>
          <w:p>
            <w:r/>
            <w:r>
              <w:rPr>
                <w:b/>
                <w:sz w:val="18"/>
              </w:rPr>
              <w:t>Default</w:t>
            </w:r>
          </w:p>
        </w:tc>
        <w:tc>
          <w:tcPr>
            <w:tcW w:type="dxa" w:w="7056"/>
            <w:shd w:fill="D9EAF7"/>
            <w:vAlign w:val="center"/>
          </w:tcPr>
          <w:p>
            <w:r/>
            <w:r>
              <w:rPr>
                <w:b/>
                <w:sz w:val="18"/>
              </w:rPr>
              <w:t>Reason</w:t>
            </w:r>
          </w:p>
        </w:tc>
      </w:tr>
      <w:tr>
        <w:tc>
          <w:tcPr>
            <w:tcW w:type="dxa" w:w="2592"/>
            <w:vAlign w:val="top"/>
          </w:tcPr>
          <w:p>
            <w:r/>
            <w:r>
              <w:rPr>
                <w:b w:val="0"/>
                <w:sz w:val="18"/>
              </w:rPr>
              <w:t>correctness_proven</w:t>
            </w:r>
          </w:p>
        </w:tc>
        <w:tc>
          <w:tcPr>
            <w:tcW w:type="dxa" w:w="1440"/>
            <w:vAlign w:val="top"/>
          </w:tcPr>
          <w:p>
            <w:r/>
            <w:r>
              <w:rPr>
                <w:b w:val="0"/>
                <w:sz w:val="18"/>
              </w:rPr>
              <w:t>false</w:t>
            </w:r>
          </w:p>
        </w:tc>
        <w:tc>
          <w:tcPr>
            <w:tcW w:type="dxa" w:w="7056"/>
            <w:vAlign w:val="top"/>
          </w:tcPr>
          <w:p>
            <w:r/>
            <w:r>
              <w:rPr>
                <w:b w:val="0"/>
                <w:sz w:val="18"/>
              </w:rPr>
              <w:t>A complete run packet can still support a scientifically wrong conclusion.</w:t>
            </w:r>
          </w:p>
        </w:tc>
      </w:tr>
      <w:tr>
        <w:tc>
          <w:tcPr>
            <w:tcW w:type="dxa" w:w="2592"/>
            <w:vAlign w:val="top"/>
          </w:tcPr>
          <w:p>
            <w:r/>
            <w:r>
              <w:rPr>
                <w:b w:val="0"/>
                <w:sz w:val="18"/>
              </w:rPr>
              <w:t>repo_mutated</w:t>
            </w:r>
          </w:p>
        </w:tc>
        <w:tc>
          <w:tcPr>
            <w:tcW w:type="dxa" w:w="1440"/>
            <w:vAlign w:val="top"/>
          </w:tcPr>
          <w:p>
            <w:r/>
            <w:r>
              <w:rPr>
                <w:b w:val="0"/>
                <w:sz w:val="18"/>
              </w:rPr>
              <w:t>false</w:t>
            </w:r>
          </w:p>
        </w:tc>
        <w:tc>
          <w:tcPr>
            <w:tcW w:type="dxa" w:w="7056"/>
            <w:vAlign w:val="top"/>
          </w:tcPr>
          <w:p>
            <w:r/>
            <w:r>
              <w:rPr>
                <w:b w:val="0"/>
                <w:sz w:val="18"/>
              </w:rPr>
              <w:t>Project 2 is not a source-control mutation engine.</w:t>
            </w:r>
          </w:p>
        </w:tc>
      </w:tr>
      <w:tr>
        <w:tc>
          <w:tcPr>
            <w:tcW w:type="dxa" w:w="2592"/>
            <w:vAlign w:val="top"/>
          </w:tcPr>
          <w:p>
            <w:r/>
            <w:r>
              <w:rPr>
                <w:b w:val="0"/>
                <w:sz w:val="18"/>
              </w:rPr>
              <w:t>state_promoted</w:t>
            </w:r>
          </w:p>
        </w:tc>
        <w:tc>
          <w:tcPr>
            <w:tcW w:type="dxa" w:w="1440"/>
            <w:vAlign w:val="top"/>
          </w:tcPr>
          <w:p>
            <w:r/>
            <w:r>
              <w:rPr>
                <w:b w:val="0"/>
                <w:sz w:val="18"/>
              </w:rPr>
              <w:t>false</w:t>
            </w:r>
          </w:p>
        </w:tc>
        <w:tc>
          <w:tcPr>
            <w:tcW w:type="dxa" w:w="7056"/>
            <w:vAlign w:val="top"/>
          </w:tcPr>
          <w:p>
            <w:r/>
            <w:r>
              <w:rPr>
                <w:b w:val="0"/>
                <w:sz w:val="18"/>
              </w:rPr>
              <w:t>Human or institutional promotion is outside v0.1.</w:t>
            </w:r>
          </w:p>
        </w:tc>
      </w:tr>
      <w:tr>
        <w:tc>
          <w:tcPr>
            <w:tcW w:type="dxa" w:w="2592"/>
            <w:vAlign w:val="top"/>
          </w:tcPr>
          <w:p>
            <w:r/>
            <w:r>
              <w:rPr>
                <w:b w:val="0"/>
                <w:sz w:val="18"/>
              </w:rPr>
              <w:t>source_control_touched</w:t>
            </w:r>
          </w:p>
        </w:tc>
        <w:tc>
          <w:tcPr>
            <w:tcW w:type="dxa" w:w="1440"/>
            <w:vAlign w:val="top"/>
          </w:tcPr>
          <w:p>
            <w:r/>
            <w:r>
              <w:rPr>
                <w:b w:val="0"/>
                <w:sz w:val="18"/>
              </w:rPr>
              <w:t>false</w:t>
            </w:r>
          </w:p>
        </w:tc>
        <w:tc>
          <w:tcPr>
            <w:tcW w:type="dxa" w:w="7056"/>
            <w:vAlign w:val="top"/>
          </w:tcPr>
          <w:p>
            <w:r/>
            <w:r>
              <w:rPr>
                <w:b w:val="0"/>
                <w:sz w:val="18"/>
              </w:rPr>
              <w:t>Official runs should not touch Git by default.</w:t>
            </w:r>
          </w:p>
        </w:tc>
      </w:tr>
    </w:tbl>
    <w:p/>
    <w:p>
      <w:pPr>
        <w:pStyle w:val="Heading1"/>
      </w:pPr>
      <w:r>
        <w:t>9. Gap analysis: old paper versus current code</w:t>
      </w:r>
    </w:p>
    <w:p>
      <w:r>
        <w:t>The earlier paper described a target system. The current RunLab code implements a scaffold of that target. The distinction should be explicit in the revised paper. A scaffold can be valuable without pretending to be complete.</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D9EAF7"/>
            <w:vAlign w:val="center"/>
          </w:tcPr>
          <w:p>
            <w:r/>
            <w:r>
              <w:rPr>
                <w:b/>
                <w:sz w:val="18"/>
              </w:rPr>
              <w:t>Capability from earlier paper</w:t>
            </w:r>
          </w:p>
        </w:tc>
        <w:tc>
          <w:tcPr>
            <w:tcW w:type="dxa" w:w="3024"/>
            <w:shd w:fill="D9EAF7"/>
            <w:vAlign w:val="center"/>
          </w:tcPr>
          <w:p>
            <w:r/>
            <w:r>
              <w:rPr>
                <w:b/>
                <w:sz w:val="18"/>
              </w:rPr>
              <w:t>Current code status</w:t>
            </w:r>
          </w:p>
        </w:tc>
        <w:tc>
          <w:tcPr>
            <w:tcW w:type="dxa" w:w="5040"/>
            <w:shd w:fill="D9EAF7"/>
            <w:vAlign w:val="center"/>
          </w:tcPr>
          <w:p>
            <w:r/>
            <w:r>
              <w:rPr>
                <w:b/>
                <w:sz w:val="18"/>
              </w:rPr>
              <w:t>Recommended paper wording</w:t>
            </w:r>
          </w:p>
        </w:tc>
      </w:tr>
      <w:tr>
        <w:tc>
          <w:tcPr>
            <w:tcW w:type="dxa" w:w="3024"/>
            <w:vAlign w:val="top"/>
          </w:tcPr>
          <w:p>
            <w:r/>
            <w:r>
              <w:rPr>
                <w:b w:val="0"/>
                <w:sz w:val="18"/>
              </w:rPr>
              <w:t>Local-first workspace</w:t>
            </w:r>
          </w:p>
        </w:tc>
        <w:tc>
          <w:tcPr>
            <w:tcW w:type="dxa" w:w="3024"/>
            <w:vAlign w:val="top"/>
          </w:tcPr>
          <w:p>
            <w:r/>
            <w:r>
              <w:rPr>
                <w:b w:val="0"/>
                <w:sz w:val="18"/>
              </w:rPr>
              <w:t>Implemented in minimal form.</w:t>
            </w:r>
          </w:p>
        </w:tc>
        <w:tc>
          <w:tcPr>
            <w:tcW w:type="dxa" w:w="5040"/>
            <w:vAlign w:val="top"/>
          </w:tcPr>
          <w:p>
            <w:r/>
            <w:r>
              <w:rPr>
                <w:b w:val="0"/>
                <w:sz w:val="18"/>
              </w:rPr>
              <w:t>RunLab currently demonstrates local-first workspace creation.</w:t>
            </w:r>
          </w:p>
        </w:tc>
      </w:tr>
      <w:tr>
        <w:tc>
          <w:tcPr>
            <w:tcW w:type="dxa" w:w="3024"/>
            <w:vAlign w:val="top"/>
          </w:tcPr>
          <w:p>
            <w:r/>
            <w:r>
              <w:rPr>
                <w:b w:val="0"/>
                <w:sz w:val="18"/>
              </w:rPr>
              <w:t>Explicit query job</w:t>
            </w:r>
          </w:p>
        </w:tc>
        <w:tc>
          <w:tcPr>
            <w:tcW w:type="dxa" w:w="3024"/>
            <w:vAlign w:val="top"/>
          </w:tcPr>
          <w:p>
            <w:r/>
            <w:r>
              <w:rPr>
                <w:b w:val="0"/>
                <w:sz w:val="18"/>
              </w:rPr>
              <w:t>Implemented as demo JSON.</w:t>
            </w:r>
          </w:p>
        </w:tc>
        <w:tc>
          <w:tcPr>
            <w:tcW w:type="dxa" w:w="5040"/>
            <w:vAlign w:val="top"/>
          </w:tcPr>
          <w:p>
            <w:r/>
            <w:r>
              <w:rPr>
                <w:b w:val="0"/>
                <w:sz w:val="18"/>
              </w:rPr>
              <w:t>RunLab creates and consumes explicit query jobs; schema hardening remains future work.</w:t>
            </w:r>
          </w:p>
        </w:tc>
      </w:tr>
      <w:tr>
        <w:tc>
          <w:tcPr>
            <w:tcW w:type="dxa" w:w="3024"/>
            <w:vAlign w:val="top"/>
          </w:tcPr>
          <w:p>
            <w:r/>
            <w:r>
              <w:rPr>
                <w:b w:val="0"/>
                <w:sz w:val="18"/>
              </w:rPr>
              <w:t>Explicit txtai index reference</w:t>
            </w:r>
          </w:p>
        </w:tc>
        <w:tc>
          <w:tcPr>
            <w:tcW w:type="dxa" w:w="3024"/>
            <w:vAlign w:val="top"/>
          </w:tcPr>
          <w:p>
            <w:r/>
            <w:r>
              <w:rPr>
                <w:b w:val="0"/>
                <w:sz w:val="18"/>
              </w:rPr>
              <w:t>Implemented as static local JSON reference.</w:t>
            </w:r>
          </w:p>
        </w:tc>
        <w:tc>
          <w:tcPr>
            <w:tcW w:type="dxa" w:w="5040"/>
            <w:vAlign w:val="top"/>
          </w:tcPr>
          <w:p>
            <w:r/>
            <w:r>
              <w:rPr>
                <w:b w:val="0"/>
                <w:sz w:val="18"/>
              </w:rPr>
              <w:t>The current scaffold uses a local static index reference; txtai integration remains future work.</w:t>
            </w:r>
          </w:p>
        </w:tc>
      </w:tr>
      <w:tr>
        <w:tc>
          <w:tcPr>
            <w:tcW w:type="dxa" w:w="3024"/>
            <w:vAlign w:val="top"/>
          </w:tcPr>
          <w:p>
            <w:r/>
            <w:r>
              <w:rPr>
                <w:b w:val="0"/>
                <w:sz w:val="18"/>
              </w:rPr>
              <w:t>Papermill execution</w:t>
            </w:r>
          </w:p>
        </w:tc>
        <w:tc>
          <w:tcPr>
            <w:tcW w:type="dxa" w:w="3024"/>
            <w:vAlign w:val="top"/>
          </w:tcPr>
          <w:p>
            <w:r/>
            <w:r>
              <w:rPr>
                <w:b w:val="0"/>
                <w:sz w:val="18"/>
              </w:rPr>
              <w:t>Placeholder only.</w:t>
            </w:r>
          </w:p>
        </w:tc>
        <w:tc>
          <w:tcPr>
            <w:tcW w:type="dxa" w:w="5040"/>
            <w:vAlign w:val="top"/>
          </w:tcPr>
          <w:p>
            <w:r/>
            <w:r>
              <w:rPr>
                <w:b w:val="0"/>
                <w:sz w:val="18"/>
              </w:rPr>
              <w:t>The scaffold reserves the Papermill parameter/executed-notebook path but does not execute Papermill yet.</w:t>
            </w:r>
          </w:p>
        </w:tc>
      </w:tr>
      <w:tr>
        <w:tc>
          <w:tcPr>
            <w:tcW w:type="dxa" w:w="3024"/>
            <w:vAlign w:val="top"/>
          </w:tcPr>
          <w:p>
            <w:r/>
            <w:r>
              <w:rPr>
                <w:b w:val="0"/>
                <w:sz w:val="18"/>
              </w:rPr>
              <w:t>Jupyter/JupyterLab interface</w:t>
            </w:r>
          </w:p>
        </w:tc>
        <w:tc>
          <w:tcPr>
            <w:tcW w:type="dxa" w:w="3024"/>
            <w:vAlign w:val="top"/>
          </w:tcPr>
          <w:p>
            <w:r/>
            <w:r>
              <w:rPr>
                <w:b w:val="0"/>
                <w:sz w:val="18"/>
              </w:rPr>
              <w:t>Not implemented.</w:t>
            </w:r>
          </w:p>
        </w:tc>
        <w:tc>
          <w:tcPr>
            <w:tcW w:type="dxa" w:w="5040"/>
            <w:vAlign w:val="top"/>
          </w:tcPr>
          <w:p>
            <w:r/>
            <w:r>
              <w:rPr>
                <w:b w:val="0"/>
                <w:sz w:val="18"/>
              </w:rPr>
              <w:t>RunLab is Jupyter-facing in product direction; current code is CLI-driven.</w:t>
            </w:r>
          </w:p>
        </w:tc>
      </w:tr>
      <w:tr>
        <w:tc>
          <w:tcPr>
            <w:tcW w:type="dxa" w:w="3024"/>
            <w:vAlign w:val="top"/>
          </w:tcPr>
          <w:p>
            <w:r/>
            <w:r>
              <w:rPr>
                <w:b w:val="0"/>
                <w:sz w:val="18"/>
              </w:rPr>
              <w:t>Retrieval record</w:t>
            </w:r>
          </w:p>
        </w:tc>
        <w:tc>
          <w:tcPr>
            <w:tcW w:type="dxa" w:w="3024"/>
            <w:vAlign w:val="top"/>
          </w:tcPr>
          <w:p>
            <w:r/>
            <w:r>
              <w:rPr>
                <w:b w:val="0"/>
                <w:sz w:val="18"/>
              </w:rPr>
              <w:t>Implemented for static demo records.</w:t>
            </w:r>
          </w:p>
        </w:tc>
        <w:tc>
          <w:tcPr>
            <w:tcW w:type="dxa" w:w="5040"/>
            <w:vAlign w:val="top"/>
          </w:tcPr>
          <w:p>
            <w:r/>
            <w:r>
              <w:rPr>
                <w:b w:val="0"/>
                <w:sz w:val="18"/>
              </w:rPr>
              <w:t>The evidence shape exists; real retrieval backend integration remains future work.</w:t>
            </w:r>
          </w:p>
        </w:tc>
      </w:tr>
      <w:tr>
        <w:tc>
          <w:tcPr>
            <w:tcW w:type="dxa" w:w="3024"/>
            <w:vAlign w:val="top"/>
          </w:tcPr>
          <w:p>
            <w:r/>
            <w:r>
              <w:rPr>
                <w:b w:val="0"/>
                <w:sz w:val="18"/>
              </w:rPr>
              <w:t>Source citations</w:t>
            </w:r>
          </w:p>
        </w:tc>
        <w:tc>
          <w:tcPr>
            <w:tcW w:type="dxa" w:w="3024"/>
            <w:vAlign w:val="top"/>
          </w:tcPr>
          <w:p>
            <w:r/>
            <w:r>
              <w:rPr>
                <w:b w:val="0"/>
                <w:sz w:val="18"/>
              </w:rPr>
              <w:t>Implemented as locator records with not_evaluated support status.</w:t>
            </w:r>
          </w:p>
        </w:tc>
        <w:tc>
          <w:tcPr>
            <w:tcW w:type="dxa" w:w="5040"/>
            <w:vAlign w:val="top"/>
          </w:tcPr>
          <w:p>
            <w:r/>
            <w:r>
              <w:rPr>
                <w:b w:val="0"/>
                <w:sz w:val="18"/>
              </w:rPr>
              <w:t>Citation records exist, but support/claim validation is not performed.</w:t>
            </w:r>
          </w:p>
        </w:tc>
      </w:tr>
      <w:tr>
        <w:tc>
          <w:tcPr>
            <w:tcW w:type="dxa" w:w="3024"/>
            <w:vAlign w:val="top"/>
          </w:tcPr>
          <w:p>
            <w:r/>
            <w:r>
              <w:rPr>
                <w:b w:val="0"/>
                <w:sz w:val="18"/>
              </w:rPr>
              <w:t>Environment report</w:t>
            </w:r>
          </w:p>
        </w:tc>
        <w:tc>
          <w:tcPr>
            <w:tcW w:type="dxa" w:w="3024"/>
            <w:vAlign w:val="top"/>
          </w:tcPr>
          <w:p>
            <w:r/>
            <w:r>
              <w:rPr>
                <w:b w:val="0"/>
                <w:sz w:val="18"/>
              </w:rPr>
              <w:t>Partial static capture.</w:t>
            </w:r>
          </w:p>
        </w:tc>
        <w:tc>
          <w:tcPr>
            <w:tcW w:type="dxa" w:w="5040"/>
            <w:vAlign w:val="top"/>
          </w:tcPr>
          <w:p>
            <w:r/>
            <w:r>
              <w:rPr>
                <w:b w:val="0"/>
                <w:sz w:val="18"/>
              </w:rPr>
              <w:t>Environment posture exists in minimal form; full dependency capture remains future work.</w:t>
            </w:r>
          </w:p>
        </w:tc>
      </w:tr>
      <w:tr>
        <w:tc>
          <w:tcPr>
            <w:tcW w:type="dxa" w:w="3024"/>
            <w:vAlign w:val="top"/>
          </w:tcPr>
          <w:p>
            <w:r/>
            <w:r>
              <w:rPr>
                <w:b w:val="0"/>
                <w:sz w:val="18"/>
              </w:rPr>
              <w:t>Verification</w:t>
            </w:r>
          </w:p>
        </w:tc>
        <w:tc>
          <w:tcPr>
            <w:tcW w:type="dxa" w:w="3024"/>
            <w:vAlign w:val="top"/>
          </w:tcPr>
          <w:p>
            <w:r/>
            <w:r>
              <w:rPr>
                <w:b w:val="0"/>
                <w:sz w:val="18"/>
              </w:rPr>
              <w:t>Artifact presence and JSON parse checks implemented.</w:t>
            </w:r>
          </w:p>
        </w:tc>
        <w:tc>
          <w:tcPr>
            <w:tcW w:type="dxa" w:w="5040"/>
            <w:vAlign w:val="top"/>
          </w:tcPr>
          <w:p>
            <w:r/>
            <w:r>
              <w:rPr>
                <w:b w:val="0"/>
                <w:sz w:val="18"/>
              </w:rPr>
              <w:t>Mechanical verification exists; field/hash/authority checks should be expanded.</w:t>
            </w:r>
          </w:p>
        </w:tc>
      </w:tr>
      <w:tr>
        <w:tc>
          <w:tcPr>
            <w:tcW w:type="dxa" w:w="3024"/>
            <w:vAlign w:val="top"/>
          </w:tcPr>
          <w:p>
            <w:r/>
            <w:r>
              <w:rPr>
                <w:b w:val="0"/>
                <w:sz w:val="18"/>
              </w:rPr>
              <w:t>Replay</w:t>
            </w:r>
          </w:p>
        </w:tc>
        <w:tc>
          <w:tcPr>
            <w:tcW w:type="dxa" w:w="3024"/>
            <w:vAlign w:val="top"/>
          </w:tcPr>
          <w:p>
            <w:r/>
            <w:r>
              <w:rPr>
                <w:b w:val="0"/>
                <w:sz w:val="18"/>
              </w:rPr>
              <w:t>Manifest inspection only.</w:t>
            </w:r>
          </w:p>
        </w:tc>
        <w:tc>
          <w:tcPr>
            <w:tcW w:type="dxa" w:w="5040"/>
            <w:vAlign w:val="top"/>
          </w:tcPr>
          <w:p>
            <w:r/>
            <w:r>
              <w:rPr>
                <w:b w:val="0"/>
                <w:sz w:val="18"/>
              </w:rPr>
              <w:t>Replay metadata exists; replay execution remains future work.</w:t>
            </w:r>
          </w:p>
        </w:tc>
      </w:tr>
      <w:tr>
        <w:tc>
          <w:tcPr>
            <w:tcW w:type="dxa" w:w="3024"/>
            <w:vAlign w:val="top"/>
          </w:tcPr>
          <w:p>
            <w:r/>
            <w:r>
              <w:rPr>
                <w:b w:val="0"/>
                <w:sz w:val="18"/>
              </w:rPr>
              <w:t>TraceLab integration</w:t>
            </w:r>
          </w:p>
        </w:tc>
        <w:tc>
          <w:tcPr>
            <w:tcW w:type="dxa" w:w="3024"/>
            <w:vAlign w:val="top"/>
          </w:tcPr>
          <w:p>
            <w:r/>
            <w:r>
              <w:rPr>
                <w:b w:val="0"/>
                <w:sz w:val="18"/>
              </w:rPr>
              <w:t>Explicitly excluded.</w:t>
            </w:r>
          </w:p>
        </w:tc>
        <w:tc>
          <w:tcPr>
            <w:tcW w:type="dxa" w:w="5040"/>
            <w:vAlign w:val="top"/>
          </w:tcPr>
          <w:p>
            <w:r/>
            <w:r>
              <w:rPr>
                <w:b w:val="0"/>
                <w:sz w:val="18"/>
              </w:rPr>
              <w:t>Correctly deferred to future integration.</w:t>
            </w:r>
          </w:p>
        </w:tc>
      </w:tr>
    </w:tbl>
    <w:p/>
    <w:p>
      <w:pPr>
        <w:pStyle w:val="Heading1"/>
      </w:pPr>
      <w:r>
        <w:t>10. Evaluation plan for the code-backed v0.1 lane</w:t>
      </w:r>
    </w:p>
    <w:p>
      <w:r>
        <w:t>Because the current scaffold is a rough draft, evaluation should start with mechanical behavior rather than scientific quality. The first question is not whether the generated demo report is a good literature review. The first question is whether RunLab consistently produces an inspectable, bounded, mechanically checkable run packet while preserving the authority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r/>
            <w:r>
              <w:rPr>
                <w:b/>
                <w:sz w:val="18"/>
              </w:rPr>
              <w:t>Evaluation criterion</w:t>
            </w:r>
          </w:p>
        </w:tc>
        <w:tc>
          <w:tcPr>
            <w:tcW w:type="dxa" w:w="4464"/>
            <w:shd w:fill="D9EAF7"/>
            <w:vAlign w:val="center"/>
          </w:tcPr>
          <w:p>
            <w:r/>
            <w:r>
              <w:rPr>
                <w:b/>
                <w:sz w:val="18"/>
              </w:rPr>
              <w:t>Current evidence</w:t>
            </w:r>
          </w:p>
        </w:tc>
        <w:tc>
          <w:tcPr>
            <w:tcW w:type="dxa" w:w="4176"/>
            <w:shd w:fill="D9EAF7"/>
            <w:vAlign w:val="center"/>
          </w:tcPr>
          <w:p>
            <w:r/>
            <w:r>
              <w:rPr>
                <w:b/>
                <w:sz w:val="18"/>
              </w:rPr>
              <w:t>Next maturity step</w:t>
            </w:r>
          </w:p>
        </w:tc>
      </w:tr>
      <w:tr>
        <w:tc>
          <w:tcPr>
            <w:tcW w:type="dxa" w:w="2448"/>
            <w:vAlign w:val="top"/>
          </w:tcPr>
          <w:p>
            <w:r/>
            <w:r>
              <w:rPr>
                <w:b w:val="0"/>
                <w:sz w:val="18"/>
              </w:rPr>
              <w:t>Workspace creation</w:t>
            </w:r>
          </w:p>
        </w:tc>
        <w:tc>
          <w:tcPr>
            <w:tcW w:type="dxa" w:w="4464"/>
            <w:vAlign w:val="top"/>
          </w:tcPr>
          <w:p>
            <w:r/>
            <w:r>
              <w:rPr>
                <w:b w:val="0"/>
                <w:sz w:val="18"/>
              </w:rPr>
              <w:t>init_workspace creates expected minimal folders and demo inputs.</w:t>
            </w:r>
          </w:p>
        </w:tc>
        <w:tc>
          <w:tcPr>
            <w:tcW w:type="dxa" w:w="4176"/>
            <w:vAlign w:val="top"/>
          </w:tcPr>
          <w:p>
            <w:r/>
            <w:r>
              <w:rPr>
                <w:b w:val="0"/>
                <w:sz w:val="18"/>
              </w:rPr>
              <w:t>Add full notebook class directories and config validation.</w:t>
            </w:r>
          </w:p>
        </w:tc>
      </w:tr>
      <w:tr>
        <w:tc>
          <w:tcPr>
            <w:tcW w:type="dxa" w:w="2448"/>
            <w:vAlign w:val="top"/>
          </w:tcPr>
          <w:p>
            <w:r/>
            <w:r>
              <w:rPr>
                <w:b w:val="0"/>
                <w:sz w:val="18"/>
              </w:rPr>
              <w:t>Run packet creation</w:t>
            </w:r>
          </w:p>
        </w:tc>
        <w:tc>
          <w:tcPr>
            <w:tcW w:type="dxa" w:w="4464"/>
            <w:vAlign w:val="top"/>
          </w:tcPr>
          <w:p>
            <w:r/>
            <w:r>
              <w:rPr>
                <w:b w:val="0"/>
                <w:sz w:val="18"/>
              </w:rPr>
              <w:t>run_demo writes inputs, parameters, records, context, reports, and manifests.</w:t>
            </w:r>
          </w:p>
        </w:tc>
        <w:tc>
          <w:tcPr>
            <w:tcW w:type="dxa" w:w="4176"/>
            <w:vAlign w:val="top"/>
          </w:tcPr>
          <w:p>
            <w:r/>
            <w:r>
              <w:rPr>
                <w:b w:val="0"/>
                <w:sz w:val="18"/>
              </w:rPr>
              <w:t>Strengthen artifact roles and schema enforcement.</w:t>
            </w:r>
          </w:p>
        </w:tc>
      </w:tr>
      <w:tr>
        <w:tc>
          <w:tcPr>
            <w:tcW w:type="dxa" w:w="2448"/>
            <w:vAlign w:val="top"/>
          </w:tcPr>
          <w:p>
            <w:r/>
            <w:r>
              <w:rPr>
                <w:b w:val="0"/>
                <w:sz w:val="18"/>
              </w:rPr>
              <w:t>Verification</w:t>
            </w:r>
          </w:p>
        </w:tc>
        <w:tc>
          <w:tcPr>
            <w:tcW w:type="dxa" w:w="4464"/>
            <w:vAlign w:val="top"/>
          </w:tcPr>
          <w:p>
            <w:r/>
            <w:r>
              <w:rPr>
                <w:b w:val="0"/>
                <w:sz w:val="18"/>
              </w:rPr>
              <w:t>verify_run checks required artifacts and JSON parseability.</w:t>
            </w:r>
          </w:p>
        </w:tc>
        <w:tc>
          <w:tcPr>
            <w:tcW w:type="dxa" w:w="4176"/>
            <w:vAlign w:val="top"/>
          </w:tcPr>
          <w:p>
            <w:r/>
            <w:r>
              <w:rPr>
                <w:b w:val="0"/>
                <w:sz w:val="18"/>
              </w:rPr>
              <w:t>Check required fields, authority flags, paths, hashes, and report outputs.</w:t>
            </w:r>
          </w:p>
        </w:tc>
      </w:tr>
      <w:tr>
        <w:tc>
          <w:tcPr>
            <w:tcW w:type="dxa" w:w="2448"/>
            <w:vAlign w:val="top"/>
          </w:tcPr>
          <w:p>
            <w:r/>
            <w:r>
              <w:rPr>
                <w:b w:val="0"/>
                <w:sz w:val="18"/>
              </w:rPr>
              <w:t>Replay transparency</w:t>
            </w:r>
          </w:p>
        </w:tc>
        <w:tc>
          <w:tcPr>
            <w:tcW w:type="dxa" w:w="4464"/>
            <w:vAlign w:val="top"/>
          </w:tcPr>
          <w:p>
            <w:r/>
            <w:r>
              <w:rPr>
                <w:b w:val="0"/>
                <w:sz w:val="18"/>
              </w:rPr>
              <w:t>inspect_replay_manifest reports replay_not_attempted and limitations.</w:t>
            </w:r>
          </w:p>
        </w:tc>
        <w:tc>
          <w:tcPr>
            <w:tcW w:type="dxa" w:w="4176"/>
            <w:vAlign w:val="top"/>
          </w:tcPr>
          <w:p>
            <w:r/>
            <w:r>
              <w:rPr>
                <w:b w:val="0"/>
                <w:sz w:val="18"/>
              </w:rPr>
              <w:t>Add replay dry-run and explicit replay prerequisites.</w:t>
            </w:r>
          </w:p>
        </w:tc>
      </w:tr>
      <w:tr>
        <w:tc>
          <w:tcPr>
            <w:tcW w:type="dxa" w:w="2448"/>
            <w:vAlign w:val="top"/>
          </w:tcPr>
          <w:p>
            <w:r/>
            <w:r>
              <w:rPr>
                <w:b w:val="0"/>
                <w:sz w:val="18"/>
              </w:rPr>
              <w:t>Boundary enforcement</w:t>
            </w:r>
          </w:p>
        </w:tc>
        <w:tc>
          <w:tcPr>
            <w:tcW w:type="dxa" w:w="4464"/>
            <w:vAlign w:val="top"/>
          </w:tcPr>
          <w:p>
            <w:r/>
            <w:r>
              <w:rPr>
                <w:b w:val="0"/>
                <w:sz w:val="18"/>
              </w:rPr>
              <w:t>Test confirms lab_run_record.json is absent.</w:t>
            </w:r>
          </w:p>
        </w:tc>
        <w:tc>
          <w:tcPr>
            <w:tcW w:type="dxa" w:w="4176"/>
            <w:vAlign w:val="top"/>
          </w:tcPr>
          <w:p>
            <w:r/>
            <w:r>
              <w:rPr>
                <w:b w:val="0"/>
                <w:sz w:val="18"/>
              </w:rPr>
              <w:t>Add tests for no source-control mutation and no hidden model download markers.</w:t>
            </w:r>
          </w:p>
        </w:tc>
      </w:tr>
      <w:tr>
        <w:tc>
          <w:tcPr>
            <w:tcW w:type="dxa" w:w="2448"/>
            <w:vAlign w:val="top"/>
          </w:tcPr>
          <w:p>
            <w:r/>
            <w:r>
              <w:rPr>
                <w:b w:val="0"/>
                <w:sz w:val="18"/>
              </w:rPr>
              <w:t>Scientific humility</w:t>
            </w:r>
          </w:p>
        </w:tc>
        <w:tc>
          <w:tcPr>
            <w:tcW w:type="dxa" w:w="4464"/>
            <w:vAlign w:val="top"/>
          </w:tcPr>
          <w:p>
            <w:r/>
            <w:r>
              <w:rPr>
                <w:b w:val="0"/>
                <w:sz w:val="18"/>
              </w:rPr>
              <w:t>Records say evidence is not proof and citations are not evaluated.</w:t>
            </w:r>
          </w:p>
        </w:tc>
        <w:tc>
          <w:tcPr>
            <w:tcW w:type="dxa" w:w="4176"/>
            <w:vAlign w:val="top"/>
          </w:tcPr>
          <w:p>
            <w:r/>
            <w:r>
              <w:rPr>
                <w:b w:val="0"/>
                <w:sz w:val="18"/>
              </w:rPr>
              <w:t>Keep this wording in README, reports, and verification outputs.</w:t>
            </w:r>
          </w:p>
        </w:tc>
      </w:tr>
    </w:tbl>
    <w:p/>
    <w:p>
      <w:pPr>
        <w:pStyle w:val="Heading1"/>
      </w:pPr>
      <w:r>
        <w:t>11. Roadmap revised from the code</w:t>
      </w:r>
    </w:p>
    <w:p>
      <w:r>
        <w:t>The roadmap should now move from the working scaffold outward, not from the largest vision inward. That means strengthening the existing CLI and packet behavior before adding real txtai, Papermill, JupyterLab, Quarto, paperetl, paperai, RO-Crate, or TraceLab integration.</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r/>
            <w:r>
              <w:rPr>
                <w:b/>
                <w:sz w:val="18"/>
              </w:rPr>
              <w:t>Phase</w:t>
            </w:r>
          </w:p>
        </w:tc>
        <w:tc>
          <w:tcPr>
            <w:tcW w:type="dxa" w:w="5328"/>
            <w:shd w:fill="D9EAF7"/>
            <w:vAlign w:val="center"/>
          </w:tcPr>
          <w:p>
            <w:r/>
            <w:r>
              <w:rPr>
                <w:b/>
                <w:sz w:val="18"/>
              </w:rPr>
              <w:t>Scope</w:t>
            </w:r>
          </w:p>
        </w:tc>
        <w:tc>
          <w:tcPr>
            <w:tcW w:type="dxa" w:w="3600"/>
            <w:shd w:fill="D9EAF7"/>
            <w:vAlign w:val="center"/>
          </w:tcPr>
          <w:p>
            <w:r/>
            <w:r>
              <w:rPr>
                <w:b/>
                <w:sz w:val="18"/>
              </w:rPr>
              <w:t>Why it is next</w:t>
            </w:r>
          </w:p>
        </w:tc>
      </w:tr>
      <w:tr>
        <w:tc>
          <w:tcPr>
            <w:tcW w:type="dxa" w:w="2160"/>
            <w:vAlign w:val="top"/>
          </w:tcPr>
          <w:p>
            <w:r/>
            <w:r>
              <w:rPr>
                <w:b w:val="0"/>
                <w:sz w:val="18"/>
              </w:rPr>
              <w:t>Phase 0 - Scaffold stabilization</w:t>
            </w:r>
          </w:p>
        </w:tc>
        <w:tc>
          <w:tcPr>
            <w:tcW w:type="dxa" w:w="5328"/>
            <w:vAlign w:val="top"/>
          </w:tcPr>
          <w:p>
            <w:r/>
            <w:r>
              <w:rPr>
                <w:b w:val="0"/>
                <w:sz w:val="18"/>
              </w:rPr>
              <w:t>Keep current init/run/verify/replay behavior green and document the code-backed packet model.</w:t>
            </w:r>
          </w:p>
        </w:tc>
        <w:tc>
          <w:tcPr>
            <w:tcW w:type="dxa" w:w="3600"/>
            <w:vAlign w:val="top"/>
          </w:tcPr>
          <w:p>
            <w:r/>
            <w:r>
              <w:rPr>
                <w:b w:val="0"/>
                <w:sz w:val="18"/>
              </w:rPr>
              <w:t>The current code already proves a minimal packet path.</w:t>
            </w:r>
          </w:p>
        </w:tc>
      </w:tr>
      <w:tr>
        <w:tc>
          <w:tcPr>
            <w:tcW w:type="dxa" w:w="2160"/>
            <w:vAlign w:val="top"/>
          </w:tcPr>
          <w:p>
            <w:r/>
            <w:r>
              <w:rPr>
                <w:b w:val="0"/>
                <w:sz w:val="18"/>
              </w:rPr>
              <w:t>Phase 1 - Schema hardening</w:t>
            </w:r>
          </w:p>
        </w:tc>
        <w:tc>
          <w:tcPr>
            <w:tcW w:type="dxa" w:w="5328"/>
            <w:vAlign w:val="top"/>
          </w:tcPr>
          <w:p>
            <w:r/>
            <w:r>
              <w:rPr>
                <w:b w:val="0"/>
                <w:sz w:val="18"/>
              </w:rPr>
              <w:t>Add explicit schemas or schema-like validators for query jobs, index references, run records, manifests, and verification reports.</w:t>
            </w:r>
          </w:p>
        </w:tc>
        <w:tc>
          <w:tcPr>
            <w:tcW w:type="dxa" w:w="3600"/>
            <w:vAlign w:val="top"/>
          </w:tcPr>
          <w:p>
            <w:r/>
            <w:r>
              <w:rPr>
                <w:b w:val="0"/>
                <w:sz w:val="18"/>
              </w:rPr>
              <w:t>Mechanical verification needs field-level checks.</w:t>
            </w:r>
          </w:p>
        </w:tc>
      </w:tr>
      <w:tr>
        <w:tc>
          <w:tcPr>
            <w:tcW w:type="dxa" w:w="2160"/>
            <w:vAlign w:val="top"/>
          </w:tcPr>
          <w:p>
            <w:r/>
            <w:r>
              <w:rPr>
                <w:b w:val="0"/>
                <w:sz w:val="18"/>
              </w:rPr>
              <w:t>Phase 2 - Official notebook execution</w:t>
            </w:r>
          </w:p>
        </w:tc>
        <w:tc>
          <w:tcPr>
            <w:tcW w:type="dxa" w:w="5328"/>
            <w:vAlign w:val="top"/>
          </w:tcPr>
          <w:p>
            <w:r/>
            <w:r>
              <w:rPr>
                <w:b w:val="0"/>
                <w:sz w:val="18"/>
              </w:rPr>
              <w:t>Replace placeholder notebook execution with Papermill-style execution for templates only.</w:t>
            </w:r>
          </w:p>
        </w:tc>
        <w:tc>
          <w:tcPr>
            <w:tcW w:type="dxa" w:w="3600"/>
            <w:vAlign w:val="top"/>
          </w:tcPr>
          <w:p>
            <w:r/>
            <w:r>
              <w:rPr>
                <w:b w:val="0"/>
                <w:sz w:val="18"/>
              </w:rPr>
              <w:t>This is the main gap between the scaffold and the earlier paper.</w:t>
            </w:r>
          </w:p>
        </w:tc>
      </w:tr>
      <w:tr>
        <w:tc>
          <w:tcPr>
            <w:tcW w:type="dxa" w:w="2160"/>
            <w:vAlign w:val="top"/>
          </w:tcPr>
          <w:p>
            <w:r/>
            <w:r>
              <w:rPr>
                <w:b w:val="0"/>
                <w:sz w:val="18"/>
              </w:rPr>
              <w:t>Phase 3 - txtai/local retrieval adapter</w:t>
            </w:r>
          </w:p>
        </w:tc>
        <w:tc>
          <w:tcPr>
            <w:tcW w:type="dxa" w:w="5328"/>
            <w:vAlign w:val="top"/>
          </w:tcPr>
          <w:p>
            <w:r/>
            <w:r>
              <w:rPr>
                <w:b w:val="0"/>
                <w:sz w:val="18"/>
              </w:rPr>
              <w:t>Replace static demo retrieval with explicit txtai/local retrieval backends while preserving static demo mode.</w:t>
            </w:r>
          </w:p>
        </w:tc>
        <w:tc>
          <w:tcPr>
            <w:tcW w:type="dxa" w:w="3600"/>
            <w:vAlign w:val="top"/>
          </w:tcPr>
          <w:p>
            <w:r/>
            <w:r>
              <w:rPr>
                <w:b w:val="0"/>
                <w:sz w:val="18"/>
              </w:rPr>
              <w:t>Retrieval provenance is the core product wedge.</w:t>
            </w:r>
          </w:p>
        </w:tc>
      </w:tr>
      <w:tr>
        <w:tc>
          <w:tcPr>
            <w:tcW w:type="dxa" w:w="2160"/>
            <w:vAlign w:val="top"/>
          </w:tcPr>
          <w:p>
            <w:r/>
            <w:r>
              <w:rPr>
                <w:b w:val="0"/>
                <w:sz w:val="18"/>
              </w:rPr>
              <w:t>Phase 4 - Report rendering and citation trace</w:t>
            </w:r>
          </w:p>
        </w:tc>
        <w:tc>
          <w:tcPr>
            <w:tcW w:type="dxa" w:w="5328"/>
            <w:vAlign w:val="top"/>
          </w:tcPr>
          <w:p>
            <w:r/>
            <w:r>
              <w:rPr>
                <w:b w:val="0"/>
                <w:sz w:val="18"/>
              </w:rPr>
              <w:t>Strengthen Markdown/HTML reports with evidence references, citation sections, and authority footer.</w:t>
            </w:r>
          </w:p>
        </w:tc>
        <w:tc>
          <w:tcPr>
            <w:tcW w:type="dxa" w:w="3600"/>
            <w:vAlign w:val="top"/>
          </w:tcPr>
          <w:p>
            <w:r/>
            <w:r>
              <w:rPr>
                <w:b w:val="0"/>
                <w:sz w:val="18"/>
              </w:rPr>
              <w:t>Users need reports that point back to evidence.</w:t>
            </w:r>
          </w:p>
        </w:tc>
      </w:tr>
      <w:tr>
        <w:tc>
          <w:tcPr>
            <w:tcW w:type="dxa" w:w="2160"/>
            <w:vAlign w:val="top"/>
          </w:tcPr>
          <w:p>
            <w:r/>
            <w:r>
              <w:rPr>
                <w:b w:val="0"/>
                <w:sz w:val="18"/>
              </w:rPr>
              <w:t>Phase 5 - Verification/replay maturity</w:t>
            </w:r>
          </w:p>
        </w:tc>
        <w:tc>
          <w:tcPr>
            <w:tcW w:type="dxa" w:w="5328"/>
            <w:vAlign w:val="top"/>
          </w:tcPr>
          <w:p>
            <w:r/>
            <w:r>
              <w:rPr>
                <w:b w:val="0"/>
                <w:sz w:val="18"/>
              </w:rPr>
              <w:t>Add required-field checks, hash checks, path checks, authority checks, replay dry-run, and failure examples.</w:t>
            </w:r>
          </w:p>
        </w:tc>
        <w:tc>
          <w:tcPr>
            <w:tcW w:type="dxa" w:w="3600"/>
            <w:vAlign w:val="top"/>
          </w:tcPr>
          <w:p>
            <w:r/>
            <w:r>
              <w:rPr>
                <w:b w:val="0"/>
                <w:sz w:val="18"/>
              </w:rPr>
              <w:t>Turns the packet into something reviewers can trust mechanically.</w:t>
            </w:r>
          </w:p>
        </w:tc>
      </w:tr>
      <w:tr>
        <w:tc>
          <w:tcPr>
            <w:tcW w:type="dxa" w:w="2160"/>
            <w:vAlign w:val="top"/>
          </w:tcPr>
          <w:p>
            <w:r/>
            <w:r>
              <w:rPr>
                <w:b w:val="0"/>
                <w:sz w:val="18"/>
              </w:rPr>
              <w:t>Phase 6 - Jupyter/JupyterLab surface</w:t>
            </w:r>
          </w:p>
        </w:tc>
        <w:tc>
          <w:tcPr>
            <w:tcW w:type="dxa" w:w="5328"/>
            <w:vAlign w:val="top"/>
          </w:tcPr>
          <w:p>
            <w:r/>
            <w:r>
              <w:rPr>
                <w:b w:val="0"/>
                <w:sz w:val="18"/>
              </w:rPr>
              <w:t>Build a thin notebook/JupyterLab-facing workflow after the CLI proves stable.</w:t>
            </w:r>
          </w:p>
        </w:tc>
        <w:tc>
          <w:tcPr>
            <w:tcW w:type="dxa" w:w="3600"/>
            <w:vAlign w:val="top"/>
          </w:tcPr>
          <w:p>
            <w:r/>
            <w:r>
              <w:rPr>
                <w:b w:val="0"/>
                <w:sz w:val="18"/>
              </w:rPr>
              <w:t>Avoids UI before evidence behavior is proven.</w:t>
            </w:r>
          </w:p>
        </w:tc>
      </w:tr>
      <w:tr>
        <w:tc>
          <w:tcPr>
            <w:tcW w:type="dxa" w:w="2160"/>
            <w:vAlign w:val="top"/>
          </w:tcPr>
          <w:p>
            <w:r/>
            <w:r>
              <w:rPr>
                <w:b w:val="0"/>
                <w:sz w:val="18"/>
              </w:rPr>
              <w:t>Phase 7 - Future adapters</w:t>
            </w:r>
          </w:p>
        </w:tc>
        <w:tc>
          <w:tcPr>
            <w:tcW w:type="dxa" w:w="5328"/>
            <w:vAlign w:val="top"/>
          </w:tcPr>
          <w:p>
            <w:r/>
            <w:r>
              <w:rPr>
                <w:b w:val="0"/>
                <w:sz w:val="18"/>
              </w:rPr>
              <w:t>paperetl, paperai, Quarto, RO-Crate, nbval, and TraceLab packet consumption.</w:t>
            </w:r>
          </w:p>
        </w:tc>
        <w:tc>
          <w:tcPr>
            <w:tcW w:type="dxa" w:w="3600"/>
            <w:vAlign w:val="top"/>
          </w:tcPr>
          <w:p>
            <w:r/>
            <w:r>
              <w:rPr>
                <w:b w:val="0"/>
                <w:sz w:val="18"/>
              </w:rPr>
              <w:t>Useful only after the Project 2 core is stable.</w:t>
            </w:r>
          </w:p>
        </w:tc>
      </w:tr>
    </w:tbl>
    <w:p/>
    <w:p>
      <w:pPr>
        <w:pStyle w:val="Heading1"/>
      </w:pPr>
      <w:r>
        <w:t>12. Limitations</w:t>
      </w:r>
    </w:p>
    <w:p>
      <w:r>
        <w:t>This revised paper is based on a rough code scaffold. The current package does not perform real Papermill notebook execution, does not run a txtai retrieval backend, does not provide a JupyterLab extension, does not produce full environment captures, does not validate scientific claims, and does not perform replay execution. It writes useful scaffold records and demonstrates a mechanically checkable packet pattern. That is enough for a strong rough draft, but it should not be represented as a finished system.</w:t>
      </w:r>
    </w:p>
    <w:p>
      <w:r>
        <w:t>The current scaffold also has intentionally limited dependency scope. That is a strength for a first proof, because it avoids hidden model downloads, Docker-first complexity, broad corpus ingestion, or lab-control drift. The tradeoff is that important product capabilities remain future work. The next development documents should therefore be precise about which claims are code-backed and which claims are design targets.</w:t>
      </w:r>
    </w:p>
    <w:p>
      <w:pPr>
        <w:pStyle w:val="Heading1"/>
      </w:pPr>
      <w:r>
        <w:t>13. Conclusion</w:t>
      </w:r>
    </w:p>
    <w:p>
      <w:r>
        <w:t>The new RunLab code scaffold clarifies Project 2. The product is not simply EvidenceAI as an abstract evidence idea; it is a user-facing Jupyter Notebook/JupyterLab workbench direction that can produce evidence-backed research run packets. The code already demonstrates the right first movement: initialize a local workspace, run a bounded demo query against an explicit local index reference, write records, render a report, create manifests, and mechanically verify the packet while refusing to claim scientific validation.</w:t>
      </w:r>
    </w:p>
    <w:p>
      <w:r>
        <w:t>The most important conclusion from the earlier paper still stands: AI-assisted research needs inspectable evidence paths. The new conclusion is more concrete: Project 2 should grow from the RunLab scaffold. The correct next product goal is not to add every integration at once. It is to make one official notebook, one explicit query job, one explicit local or txtai index reference, one report, and one evidence-backed run packet work cleanly and honestly.</w:t>
      </w:r>
    </w:p>
    <w:p>
      <w:pPr>
        <w:pStyle w:val="Heading1"/>
      </w:pPr>
      <w:r>
        <w:t>References</w:t>
      </w:r>
    </w:p>
    <w:p>
      <w:pPr>
        <w:ind w:left="360" w:hanging="360"/>
      </w:pPr>
      <w:r>
        <w:t>Barker, M., Chue Hong, N. P., Katz, D. S., Lamprecht, A.-L., Martinez, C., Psomopoulos, F. E., Harrow, J., Castro, L. J., Gruenpeter, M., Martinez, P. A., Honeyman, T., Struck, A., Lee, A., Loewe, A., van Werkhoven, B., Jones, C., Garijo, D., Plomp, E., Genova, F., ... Druskat, S. (2022). Introducing the FAIR Principles for research software. Scientific Data, 9, 622. https://doi.org/10.1038/s41597-022-01710-x</w:t>
      </w:r>
    </w:p>
    <w:p>
      <w:pPr>
        <w:ind w:left="360" w:hanging="360"/>
      </w:pPr>
      <w:r>
        <w:t>Brinckman, A., Chard, K., Gaffney, N., Hategan, M., Jones, M. B., Kowalik, K., Kulasekaran, S., Ludäscher, B., Mecum, B. D., Nabrzyski, J., Stodden, V., Taylor, I. J., Turk, M. J., &amp; Willis, C. (2019). Computing environments for reproducibility: Capturing the “whole tale.” Future Generation Computer Systems, 94, 854-867. https://doi.org/10.1016/j.future.2017.12.029</w:t>
      </w:r>
    </w:p>
    <w:p>
      <w:pPr>
        <w:ind w:left="360" w:hanging="360"/>
      </w:pPr>
      <w:r>
        <w:t>Computational Modelling Group. (n.d.). nbval: Py.test plugin for validating Jupyter notebooks. GitHub. Retrieved May 20, 2026, from https://github.com/computationalmodelling/nbval</w:t>
      </w:r>
    </w:p>
    <w:p>
      <w:pPr>
        <w:ind w:left="360" w:hanging="360"/>
      </w:pPr>
      <w:r>
        <w:t>Jupytext. (n.d.). Jupytext documentation. Retrieved May 20, 2026, from https://jupytext.readthedocs.io/</w:t>
      </w:r>
    </w:p>
    <w:p>
      <w:pPr>
        <w:ind w:left="360" w:hanging="360"/>
      </w:pPr>
      <w:r>
        <w:t>NeuML. (n.d.). txtai: All-in-one AI framework for semantic search, LLM orchestration and language model workflows. Retrieved May 20, 2026, from https://neuml.github.io/txtai/</w:t>
      </w:r>
    </w:p>
    <w:p>
      <w:pPr>
        <w:ind w:left="360" w:hanging="360"/>
      </w:pPr>
      <w:r>
        <w:t>nteract. (n.d.). Papermill documentation. Retrieved May 20, 2026, from https://papermill.readthedocs.io/</w:t>
      </w:r>
    </w:p>
    <w:p>
      <w:pPr>
        <w:ind w:left="360" w:hanging="360"/>
      </w:pPr>
      <w:r>
        <w:t>Project Jupyter. (n.d.). repo2docker documentation. Retrieved May 20, 2026, from https://repo2docker.readthedocs.io/</w:t>
      </w:r>
    </w:p>
    <w:p>
      <w:pPr>
        <w:ind w:left="360" w:hanging="360"/>
      </w:pPr>
      <w:r>
        <w:t>Quarto. (n.d.). Quarto: An open-source scientific and technical publishing system. Retrieved May 20, 2026, from https://quarto.org/</w:t>
      </w:r>
    </w:p>
    <w:p>
      <w:pPr>
        <w:ind w:left="360" w:hanging="360"/>
      </w:pPr>
      <w:r>
        <w:t>RO-Crate Community. (n.d.). About RO-Crate. Retrieved May 20, 2026, from https://www.researchobject.org/ro-crate/about_ro_crate</w:t>
      </w:r>
    </w:p>
    <w:p>
      <w:pPr>
        <w:ind w:left="360" w:hanging="360"/>
      </w:pPr>
      <w:r>
        <w:t>Rule, A., Birmingham, A., Zuniga, C., Altintas, I., Huang, S.-C., Knight, R., Moshiri, N., Nguyen, M. H., Rosenthal, S. B., Pérez, F., &amp; Rose, P. W. (2019). Ten simple rules for writing and sharing computational analyses in Jupyter Notebooks. PLOS Computational Biology, 15(7), e1007007. https://doi.org/10.1371/journal.pcbi.1007007</w:t>
      </w:r>
    </w:p>
    <w:p>
      <w:pPr>
        <w:ind w:left="360" w:hanging="360"/>
      </w:pPr>
      <w:r>
        <w:t>Samuel, S., &amp; Mietchen, D. (2024). Computational reproducibility of Jupyter notebooks from biomedical publications. GigaScience, 13, giad113. https://doi.org/10.1093/gigascience/giad113</w:t>
      </w:r>
    </w:p>
    <w:p>
      <w:pPr>
        <w:ind w:left="360" w:hanging="360"/>
      </w:pPr>
      <w:r>
        <w:t>Soiland-Reyes, S., Sefton, P., Crosas, M., Castro, L. J., Coppens, F., Fernández, J. M., Garijo, D., Grüning, B., La Rosa, M., Leo, S., Ó Carragáin, E., Portier, M., Trisovic, A., RO-Crate Community, Groth, P., Goble, C., &amp; others. (2022). Packaging research artefacts with RO-Crate. Data Science, 5(2), 97-138. https://doi.org/10.3233/DS-210053</w:t>
      </w:r>
    </w:p>
    <w:p>
      <w:pPr>
        <w:ind w:left="360" w:hanging="360"/>
      </w:pPr>
      <w:r>
        <w:t>RunLab code scaffold. (2026). run-lab-main.zip [Unpublished rough code scaffold inspected for this revision].</w:t>
      </w:r>
    </w:p>
    <w:p>
      <w:pPr>
        <w:pStyle w:val="Heading1"/>
      </w:pPr>
      <w:r>
        <w:t>Appendix A: Code-derived current capability summary</w:t>
      </w:r>
    </w:p>
    <w:tbl>
      <w:tblPr>
        <w:tblStyle w:val="TableGrid"/>
        <w:tblW w:type="auto" w:w="0"/>
        <w:jc w:val="center"/>
        <w:tblLook w:firstColumn="1" w:firstRow="1" w:lastColumn="0" w:lastRow="0" w:noHBand="0" w:noVBand="1" w:val="04A0"/>
      </w:tblPr>
      <w:tblGrid>
        <w:gridCol w:w="4968"/>
        <w:gridCol w:w="4968"/>
      </w:tblGrid>
      <w:tr>
        <w:tc>
          <w:tcPr>
            <w:tcW w:type="dxa" w:w="3024"/>
            <w:shd w:fill="D9EAF7"/>
            <w:vAlign w:val="center"/>
          </w:tcPr>
          <w:p>
            <w:r/>
            <w:r>
              <w:rPr>
                <w:b/>
                <w:sz w:val="18"/>
              </w:rPr>
              <w:t>Capability</w:t>
            </w:r>
          </w:p>
        </w:tc>
        <w:tc>
          <w:tcPr>
            <w:tcW w:type="dxa" w:w="8064"/>
            <w:shd w:fill="D9EAF7"/>
            <w:vAlign w:val="center"/>
          </w:tcPr>
          <w:p>
            <w:r/>
            <w:r>
              <w:rPr>
                <w:b/>
                <w:sz w:val="18"/>
              </w:rPr>
              <w:t>Evidence from code scaffold</w:t>
            </w:r>
          </w:p>
        </w:tc>
      </w:tr>
      <w:tr>
        <w:tc>
          <w:tcPr>
            <w:tcW w:type="dxa" w:w="3024"/>
            <w:vAlign w:val="top"/>
          </w:tcPr>
          <w:p>
            <w:r/>
            <w:r>
              <w:rPr>
                <w:b w:val="0"/>
                <w:sz w:val="18"/>
              </w:rPr>
              <w:t>Package name</w:t>
            </w:r>
          </w:p>
        </w:tc>
        <w:tc>
          <w:tcPr>
            <w:tcW w:type="dxa" w:w="8064"/>
            <w:vAlign w:val="top"/>
          </w:tcPr>
          <w:p>
            <w:r/>
            <w:r>
              <w:rPr>
                <w:b w:val="0"/>
                <w:sz w:val="18"/>
              </w:rPr>
              <w:t>run-lab, version 0.1.0a0.</w:t>
            </w:r>
          </w:p>
        </w:tc>
      </w:tr>
      <w:tr>
        <w:tc>
          <w:tcPr>
            <w:tcW w:type="dxa" w:w="3024"/>
            <w:vAlign w:val="top"/>
          </w:tcPr>
          <w:p>
            <w:r/>
            <w:r>
              <w:rPr>
                <w:b w:val="0"/>
                <w:sz w:val="18"/>
              </w:rPr>
              <w:t>Console command</w:t>
            </w:r>
          </w:p>
        </w:tc>
        <w:tc>
          <w:tcPr>
            <w:tcW w:type="dxa" w:w="8064"/>
            <w:vAlign w:val="top"/>
          </w:tcPr>
          <w:p>
            <w:r/>
            <w:r>
              <w:rPr>
                <w:b w:val="0"/>
                <w:sz w:val="18"/>
              </w:rPr>
              <w:t>run-lab.</w:t>
            </w:r>
          </w:p>
        </w:tc>
      </w:tr>
      <w:tr>
        <w:tc>
          <w:tcPr>
            <w:tcW w:type="dxa" w:w="3024"/>
            <w:vAlign w:val="top"/>
          </w:tcPr>
          <w:p>
            <w:r/>
            <w:r>
              <w:rPr>
                <w:b w:val="0"/>
                <w:sz w:val="18"/>
              </w:rPr>
              <w:t>Current dependencies</w:t>
            </w:r>
          </w:p>
        </w:tc>
        <w:tc>
          <w:tcPr>
            <w:tcW w:type="dxa" w:w="8064"/>
            <w:vAlign w:val="top"/>
          </w:tcPr>
          <w:p>
            <w:r/>
            <w:r>
              <w:rPr>
                <w:b w:val="0"/>
                <w:sz w:val="18"/>
              </w:rPr>
              <w:t>No runtime dependencies declared in pyproject.toml.</w:t>
            </w:r>
          </w:p>
        </w:tc>
      </w:tr>
      <w:tr>
        <w:tc>
          <w:tcPr>
            <w:tcW w:type="dxa" w:w="3024"/>
            <w:vAlign w:val="top"/>
          </w:tcPr>
          <w:p>
            <w:r/>
            <w:r>
              <w:rPr>
                <w:b w:val="0"/>
                <w:sz w:val="18"/>
              </w:rPr>
              <w:t>Main CLI commands</w:t>
            </w:r>
          </w:p>
        </w:tc>
        <w:tc>
          <w:tcPr>
            <w:tcW w:type="dxa" w:w="8064"/>
            <w:vAlign w:val="top"/>
          </w:tcPr>
          <w:p>
            <w:r/>
            <w:r>
              <w:rPr>
                <w:b w:val="0"/>
                <w:sz w:val="18"/>
              </w:rPr>
              <w:t>init, inspect, run, verify, replay.</w:t>
            </w:r>
          </w:p>
        </w:tc>
      </w:tr>
      <w:tr>
        <w:tc>
          <w:tcPr>
            <w:tcW w:type="dxa" w:w="3024"/>
            <w:vAlign w:val="top"/>
          </w:tcPr>
          <w:p>
            <w:r/>
            <w:r>
              <w:rPr>
                <w:b w:val="0"/>
                <w:sz w:val="18"/>
              </w:rPr>
              <w:t>Current retrieval mode</w:t>
            </w:r>
          </w:p>
        </w:tc>
        <w:tc>
          <w:tcPr>
            <w:tcW w:type="dxa" w:w="8064"/>
            <w:vAlign w:val="top"/>
          </w:tcPr>
          <w:p>
            <w:r/>
            <w:r>
              <w:rPr>
                <w:b w:val="0"/>
                <w:sz w:val="18"/>
              </w:rPr>
              <w:t>static_local_demo.</w:t>
            </w:r>
          </w:p>
        </w:tc>
      </w:tr>
      <w:tr>
        <w:tc>
          <w:tcPr>
            <w:tcW w:type="dxa" w:w="3024"/>
            <w:vAlign w:val="top"/>
          </w:tcPr>
          <w:p>
            <w:r/>
            <w:r>
              <w:rPr>
                <w:b w:val="0"/>
                <w:sz w:val="18"/>
              </w:rPr>
              <w:t>Current notebook execution mode</w:t>
            </w:r>
          </w:p>
        </w:tc>
        <w:tc>
          <w:tcPr>
            <w:tcW w:type="dxa" w:w="8064"/>
            <w:vAlign w:val="top"/>
          </w:tcPr>
          <w:p>
            <w:r/>
            <w:r>
              <w:rPr>
                <w:b w:val="0"/>
                <w:sz w:val="18"/>
              </w:rPr>
              <w:t>placeholder_no_papermill / static_placeholder_no_papermill.</w:t>
            </w:r>
          </w:p>
        </w:tc>
      </w:tr>
      <w:tr>
        <w:tc>
          <w:tcPr>
            <w:tcW w:type="dxa" w:w="3024"/>
            <w:vAlign w:val="top"/>
          </w:tcPr>
          <w:p>
            <w:r/>
            <w:r>
              <w:rPr>
                <w:b w:val="0"/>
                <w:sz w:val="18"/>
              </w:rPr>
              <w:t>Current verification status vocabulary</w:t>
            </w:r>
          </w:p>
        </w:tc>
        <w:tc>
          <w:tcPr>
            <w:tcW w:type="dxa" w:w="8064"/>
            <w:vAlign w:val="top"/>
          </w:tcPr>
          <w:p>
            <w:r/>
            <w:r>
              <w:rPr>
                <w:b w:val="0"/>
                <w:sz w:val="18"/>
              </w:rPr>
              <w:t>passed_mechanical_checks / failed_mechanical_checks.</w:t>
            </w:r>
          </w:p>
        </w:tc>
      </w:tr>
      <w:tr>
        <w:tc>
          <w:tcPr>
            <w:tcW w:type="dxa" w:w="3024"/>
            <w:vAlign w:val="top"/>
          </w:tcPr>
          <w:p>
            <w:r/>
            <w:r>
              <w:rPr>
                <w:b w:val="0"/>
                <w:sz w:val="18"/>
              </w:rPr>
              <w:t>Boundary language</w:t>
            </w:r>
          </w:p>
        </w:tc>
        <w:tc>
          <w:tcPr>
            <w:tcW w:type="dxa" w:w="8064"/>
            <w:vAlign w:val="top"/>
          </w:tcPr>
          <w:p>
            <w:r/>
            <w:r>
              <w:rPr>
                <w:b w:val="0"/>
                <w:sz w:val="18"/>
              </w:rPr>
              <w:t>Verification is not scientific validation; replay metadata is not replay success; evidence is not proof.</w:t>
            </w:r>
          </w:p>
        </w:tc>
      </w:tr>
      <w:tr>
        <w:tc>
          <w:tcPr>
            <w:tcW w:type="dxa" w:w="3024"/>
            <w:vAlign w:val="top"/>
          </w:tcPr>
          <w:p>
            <w:r/>
            <w:r>
              <w:rPr>
                <w:b w:val="0"/>
                <w:sz w:val="18"/>
              </w:rPr>
              <w:t>Current test result observed</w:t>
            </w:r>
          </w:p>
        </w:tc>
        <w:tc>
          <w:tcPr>
            <w:tcW w:type="dxa" w:w="8064"/>
            <w:vAlign w:val="top"/>
          </w:tcPr>
          <w:p>
            <w:r/>
            <w:r>
              <w:rPr>
                <w:b w:val="0"/>
                <w:sz w:val="18"/>
              </w:rPr>
              <w:t>PYTHONPATH=src python3 -m pytest -q: 1 passed.</w:t>
            </w:r>
          </w:p>
        </w:tc>
      </w:tr>
    </w:tbl>
    <w:p/>
    <w:p>
      <w:pPr>
        <w:pStyle w:val="Heading1"/>
      </w:pPr>
      <w:r>
        <w:t>Appendix B: Revised functional requirements for code-backed Project 2</w:t>
      </w:r>
    </w:p>
    <w:p>
      <w:pPr>
        <w:pStyle w:val="ListBullet"/>
      </w:pPr>
      <w:r>
        <w:t>RL-FR-001: The system shall initialize a local RunLab workspace with documented folder conventions.</w:t>
      </w:r>
    </w:p>
    <w:p>
      <w:pPr>
        <w:pStyle w:val="ListBullet"/>
      </w:pPr>
      <w:r>
        <w:t>RL-FR-002: The system shall create or accept explicit query job JSON files.</w:t>
      </w:r>
    </w:p>
    <w:p>
      <w:pPr>
        <w:pStyle w:val="ListBullet"/>
      </w:pPr>
      <w:r>
        <w:t>RL-FR-003: The system shall create or accept explicit local/txtai index reference files.</w:t>
      </w:r>
    </w:p>
    <w:p>
      <w:pPr>
        <w:pStyle w:val="ListBullet"/>
      </w:pPr>
      <w:r>
        <w:t>RL-FR-004: The system shall create a run directory under runs/&lt;run-id&gt; for each official run.</w:t>
      </w:r>
    </w:p>
    <w:p>
      <w:pPr>
        <w:pStyle w:val="ListBullet"/>
      </w:pPr>
      <w:r>
        <w:t>RL-FR-005: The system shall copy or snapshot run inputs into the run packet.</w:t>
      </w:r>
    </w:p>
    <w:p>
      <w:pPr>
        <w:pStyle w:val="ListBullet"/>
      </w:pPr>
      <w:r>
        <w:t>RL-FR-006: The system shall preserve notebook execution parameters in a parameter record.</w:t>
      </w:r>
    </w:p>
    <w:p>
      <w:pPr>
        <w:pStyle w:val="ListBullet"/>
      </w:pPr>
      <w:r>
        <w:t>RL-FR-007: The system shall write an executed-notebook artifact or an honest placeholder record until Papermill execution is implemented.</w:t>
      </w:r>
    </w:p>
    <w:p>
      <w:pPr>
        <w:pStyle w:val="ListBullet"/>
      </w:pPr>
      <w:r>
        <w:t>RL-FR-008: The system shall write retrieval_record.json for each run.</w:t>
      </w:r>
    </w:p>
    <w:p>
      <w:pPr>
        <w:pStyle w:val="ListBullet"/>
      </w:pPr>
      <w:r>
        <w:t>RL-FR-009: The system shall write source_citations.json with support status that does not overclaim validation.</w:t>
      </w:r>
    </w:p>
    <w:p>
      <w:pPr>
        <w:pStyle w:val="ListBullet"/>
      </w:pPr>
      <w:r>
        <w:t>RL-FR-010: The system shall write context_pack.md as a human-readable evidence bridge.</w:t>
      </w:r>
    </w:p>
    <w:p>
      <w:pPr>
        <w:pStyle w:val="ListBullet"/>
      </w:pPr>
      <w:r>
        <w:t>RL-FR-011: The system shall write notebook_run_record.json with conservative authority flags.</w:t>
      </w:r>
    </w:p>
    <w:p>
      <w:pPr>
        <w:pStyle w:val="ListBullet"/>
      </w:pPr>
      <w:r>
        <w:t>RL-FR-012: The system shall write environment_report.json without dumping secrets.</w:t>
      </w:r>
    </w:p>
    <w:p>
      <w:pPr>
        <w:pStyle w:val="ListBullet"/>
      </w:pPr>
      <w:r>
        <w:t>RL-FR-013: The system shall render Markdown and/or HTML reports.</w:t>
      </w:r>
    </w:p>
    <w:p>
      <w:pPr>
        <w:pStyle w:val="ListBullet"/>
      </w:pPr>
      <w:r>
        <w:t>RL-FR-014: The system shall write artifact_manifest.json with file hashes.</w:t>
      </w:r>
    </w:p>
    <w:p>
      <w:pPr>
        <w:pStyle w:val="ListBullet"/>
      </w:pPr>
      <w:r>
        <w:t>RL-FR-015: The system shall write replay_manifest.json with replay limitations.</w:t>
      </w:r>
    </w:p>
    <w:p>
      <w:pPr>
        <w:pStyle w:val="ListBullet"/>
      </w:pPr>
      <w:r>
        <w:t>RL-FR-016: The system shall mechanically verify required artifacts and JSON parseability.</w:t>
      </w:r>
    </w:p>
    <w:p>
      <w:pPr>
        <w:pStyle w:val="ListBullet"/>
      </w:pPr>
      <w:r>
        <w:t>RL-FR-017: The system shall not claim scientific validation, promotion, source-control mutation, or lab-control authority by default.</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prepared for Jeramee Oliver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Project 2 / RunLab / EvidenceAI - rough research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