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mc:AlternateContent>
          <mc:Choice Requires="wps">
            <w:drawing>
              <wp:anchor behindDoc="0" distT="0" distB="0" distL="114300" distR="113665" simplePos="0" locked="0" layoutInCell="1" allowOverlap="1" relativeHeight="2" wp14:anchorId="70F95171">
                <wp:simplePos x="0" y="0"/>
                <wp:positionH relativeFrom="column">
                  <wp:posOffset>3959225</wp:posOffset>
                </wp:positionH>
                <wp:positionV relativeFrom="paragraph">
                  <wp:posOffset>-69850</wp:posOffset>
                </wp:positionV>
                <wp:extent cx="2165985" cy="1372235"/>
                <wp:effectExtent l="0" t="0" r="9525" b="0"/>
                <wp:wrapNone/>
                <wp:docPr id="1" name="Text Box 3"/>
                <a:graphic xmlns:a="http://schemas.openxmlformats.org/drawingml/2006/main">
                  <a:graphicData uri="http://schemas.microsoft.com/office/word/2010/wordprocessingShape">
                    <wps:wsp>
                      <wps:cNvSpPr/>
                      <wps:spPr>
                        <a:xfrm>
                          <a:off x="0" y="0"/>
                          <a:ext cx="2165400" cy="1371600"/>
                        </a:xfrm>
                        <a:prstGeom prst="rect">
                          <a:avLst/>
                        </a:prstGeom>
                        <a:solidFill>
                          <a:srgbClr val="ffffff"/>
                        </a:solidFill>
                        <a:ln>
                          <a:noFill/>
                        </a:ln>
                      </wps:spPr>
                      <wps:style>
                        <a:lnRef idx="0"/>
                        <a:fillRef idx="0"/>
                        <a:effectRef idx="0"/>
                        <a:fontRef idx="minor"/>
                      </wps:style>
                      <wps:txbx>
                        <w:txbxContent>
                          <w:p>
                            <w:pPr>
                              <w:pStyle w:val="FrameContents"/>
                              <w:rPr/>
                            </w:pPr>
                            <w:r>
                              <w:rPr>
                                <w:b/>
                                <w:i/>
                                <w:smallCaps/>
                                <w:color w:val="000000"/>
                                <w:spacing w:val="10"/>
                                <w:sz w:val="14"/>
                                <w:szCs w:val="14"/>
                              </w:rPr>
                              <w:t>Jeramia Poland</w:t>
                            </w:r>
                          </w:p>
                          <w:p>
                            <w:pPr>
                              <w:pStyle w:val="FrameContents"/>
                              <w:rPr/>
                            </w:pPr>
                            <w:r>
                              <w:rPr>
                                <w:b/>
                                <w:i/>
                                <w:smallCaps/>
                                <w:color w:val="000000"/>
                                <w:spacing w:val="10"/>
                                <w:sz w:val="14"/>
                                <w:szCs w:val="14"/>
                              </w:rPr>
                              <w:t>FPM Candidate, Financial Economics</w:t>
                            </w:r>
                          </w:p>
                          <w:p>
                            <w:pPr>
                              <w:pStyle w:val="FrameContents"/>
                              <w:rPr>
                                <w:smallCaps/>
                                <w:color w:val="000000"/>
                                <w:spacing w:val="10"/>
                                <w:sz w:val="14"/>
                                <w:szCs w:val="14"/>
                              </w:rPr>
                            </w:pPr>
                            <w:r>
                              <w:rPr>
                                <w:smallCaps/>
                                <w:color w:val="000000"/>
                                <w:spacing w:val="10"/>
                                <w:sz w:val="14"/>
                                <w:szCs w:val="14"/>
                              </w:rPr>
                            </w:r>
                          </w:p>
                          <w:p>
                            <w:pPr>
                              <w:pStyle w:val="FrameContents"/>
                              <w:rPr/>
                            </w:pPr>
                            <w:r>
                              <w:rPr>
                                <w:smallCaps/>
                                <w:color w:val="000000"/>
                                <w:spacing w:val="10"/>
                                <w:sz w:val="14"/>
                                <w:szCs w:val="14"/>
                              </w:rPr>
                              <w:t>Indian School of Business</w:t>
                            </w:r>
                          </w:p>
                          <w:p>
                            <w:pPr>
                              <w:pStyle w:val="FrameContents"/>
                              <w:rPr/>
                            </w:pPr>
                            <w:r>
                              <w:rPr>
                                <w:smallCaps/>
                                <w:color w:val="000000"/>
                                <w:spacing w:val="10"/>
                                <w:sz w:val="14"/>
                                <w:szCs w:val="14"/>
                              </w:rPr>
                              <w:t>Gachibowli, Hyderabad – 500</w:t>
                            </w:r>
                            <w:r>
                              <w:rPr>
                                <w:smallCaps/>
                                <w:color w:val="000000"/>
                                <w:spacing w:val="10"/>
                                <w:sz w:val="14"/>
                                <w:szCs w:val="14"/>
                              </w:rPr>
                              <w:t>111</w:t>
                            </w:r>
                          </w:p>
                          <w:p>
                            <w:pPr>
                              <w:pStyle w:val="FrameContents"/>
                              <w:rPr>
                                <w:smallCaps/>
                                <w:color w:val="000000"/>
                                <w:spacing w:val="10"/>
                                <w:sz w:val="14"/>
                                <w:szCs w:val="14"/>
                              </w:rPr>
                            </w:pPr>
                            <w:r>
                              <w:rPr>
                                <w:smallCaps/>
                                <w:color w:val="000000"/>
                                <w:spacing w:val="10"/>
                                <w:sz w:val="14"/>
                                <w:szCs w:val="14"/>
                              </w:rPr>
                              <w:t>INDIA</w:t>
                            </w:r>
                          </w:p>
                          <w:p>
                            <w:pPr>
                              <w:pStyle w:val="FrameContents"/>
                              <w:rPr/>
                            </w:pPr>
                            <w:r>
                              <w:rPr>
                                <w:smallCaps/>
                                <w:color w:val="000000"/>
                                <w:spacing w:val="10"/>
                                <w:sz w:val="14"/>
                                <w:szCs w:val="14"/>
                                <w:lang w:val="fr-FR"/>
                              </w:rPr>
                              <w:t xml:space="preserve">+91 (40) </w:t>
                            </w:r>
                            <w:r>
                              <w:rPr>
                                <w:smallCaps/>
                                <w:color w:val="000000"/>
                                <w:spacing w:val="10"/>
                                <w:sz w:val="14"/>
                                <w:szCs w:val="14"/>
                                <w:lang w:val="fr-FR"/>
                              </w:rPr>
                              <w:t>2318 7851</w:t>
                            </w:r>
                          </w:p>
                          <w:p>
                            <w:pPr>
                              <w:pStyle w:val="FrameContents"/>
                              <w:rPr/>
                            </w:pPr>
                            <w:r>
                              <w:rPr>
                                <w:sz w:val="14"/>
                                <w:szCs w:val="14"/>
                              </w:rPr>
                              <w:t>jeramia_poland</w:t>
                            </w:r>
                            <w:r>
                              <w:rPr>
                                <w:sz w:val="14"/>
                                <w:szCs w:val="14"/>
                              </w:rPr>
                              <w:t>@isb.edu</w:t>
                            </w:r>
                          </w:p>
                          <w:p>
                            <w:pPr>
                              <w:pStyle w:val="FrameContents"/>
                              <w:rPr/>
                            </w:pPr>
                            <w:r>
                              <w:rPr/>
                            </w:r>
                          </w:p>
                        </w:txbxContent>
                      </wps:txbx>
                      <wps:bodyPr>
                        <a:noAutofit/>
                      </wps:bodyPr>
                    </wps:wsp>
                  </a:graphicData>
                </a:graphic>
              </wp:anchor>
            </w:drawing>
          </mc:Choice>
          <mc:Fallback>
            <w:pict>
              <v:rect id="shape_0" ID="Text Box 3" fillcolor="white" stroked="f" style="position:absolute;margin-left:311.75pt;margin-top:-5.5pt;width:170.45pt;height:107.95pt" wp14:anchorId="70F95171">
                <w10:wrap type="square"/>
                <v:fill o:detectmouseclick="t" type="solid" color2="black"/>
                <v:stroke color="#3465a4" joinstyle="round" endcap="flat"/>
                <v:textbox>
                  <w:txbxContent>
                    <w:p>
                      <w:pPr>
                        <w:pStyle w:val="FrameContents"/>
                        <w:rPr/>
                      </w:pPr>
                      <w:r>
                        <w:rPr>
                          <w:b/>
                          <w:i/>
                          <w:smallCaps/>
                          <w:color w:val="000000"/>
                          <w:spacing w:val="10"/>
                          <w:sz w:val="14"/>
                          <w:szCs w:val="14"/>
                        </w:rPr>
                        <w:t>Jeramia Poland</w:t>
                      </w:r>
                    </w:p>
                    <w:p>
                      <w:pPr>
                        <w:pStyle w:val="FrameContents"/>
                        <w:rPr/>
                      </w:pPr>
                      <w:r>
                        <w:rPr>
                          <w:b/>
                          <w:i/>
                          <w:smallCaps/>
                          <w:color w:val="000000"/>
                          <w:spacing w:val="10"/>
                          <w:sz w:val="14"/>
                          <w:szCs w:val="14"/>
                        </w:rPr>
                        <w:t>FPM Candidate, Financial Economics</w:t>
                      </w:r>
                    </w:p>
                    <w:p>
                      <w:pPr>
                        <w:pStyle w:val="FrameContents"/>
                        <w:rPr>
                          <w:smallCaps/>
                          <w:color w:val="000000"/>
                          <w:spacing w:val="10"/>
                          <w:sz w:val="14"/>
                          <w:szCs w:val="14"/>
                        </w:rPr>
                      </w:pPr>
                      <w:r>
                        <w:rPr>
                          <w:smallCaps/>
                          <w:color w:val="000000"/>
                          <w:spacing w:val="10"/>
                          <w:sz w:val="14"/>
                          <w:szCs w:val="14"/>
                        </w:rPr>
                      </w:r>
                    </w:p>
                    <w:p>
                      <w:pPr>
                        <w:pStyle w:val="FrameContents"/>
                        <w:rPr/>
                      </w:pPr>
                      <w:r>
                        <w:rPr>
                          <w:smallCaps/>
                          <w:color w:val="000000"/>
                          <w:spacing w:val="10"/>
                          <w:sz w:val="14"/>
                          <w:szCs w:val="14"/>
                        </w:rPr>
                        <w:t>Indian School of Business</w:t>
                      </w:r>
                    </w:p>
                    <w:p>
                      <w:pPr>
                        <w:pStyle w:val="FrameContents"/>
                        <w:rPr/>
                      </w:pPr>
                      <w:r>
                        <w:rPr>
                          <w:smallCaps/>
                          <w:color w:val="000000"/>
                          <w:spacing w:val="10"/>
                          <w:sz w:val="14"/>
                          <w:szCs w:val="14"/>
                        </w:rPr>
                        <w:t>Gachibowli, Hyderabad – 500</w:t>
                      </w:r>
                      <w:r>
                        <w:rPr>
                          <w:smallCaps/>
                          <w:color w:val="000000"/>
                          <w:spacing w:val="10"/>
                          <w:sz w:val="14"/>
                          <w:szCs w:val="14"/>
                        </w:rPr>
                        <w:t>111</w:t>
                      </w:r>
                    </w:p>
                    <w:p>
                      <w:pPr>
                        <w:pStyle w:val="FrameContents"/>
                        <w:rPr>
                          <w:smallCaps/>
                          <w:color w:val="000000"/>
                          <w:spacing w:val="10"/>
                          <w:sz w:val="14"/>
                          <w:szCs w:val="14"/>
                        </w:rPr>
                      </w:pPr>
                      <w:r>
                        <w:rPr>
                          <w:smallCaps/>
                          <w:color w:val="000000"/>
                          <w:spacing w:val="10"/>
                          <w:sz w:val="14"/>
                          <w:szCs w:val="14"/>
                        </w:rPr>
                        <w:t>INDIA</w:t>
                      </w:r>
                    </w:p>
                    <w:p>
                      <w:pPr>
                        <w:pStyle w:val="FrameContents"/>
                        <w:rPr/>
                      </w:pPr>
                      <w:r>
                        <w:rPr>
                          <w:smallCaps/>
                          <w:color w:val="000000"/>
                          <w:spacing w:val="10"/>
                          <w:sz w:val="14"/>
                          <w:szCs w:val="14"/>
                          <w:lang w:val="fr-FR"/>
                        </w:rPr>
                        <w:t xml:space="preserve">+91 (40) </w:t>
                      </w:r>
                      <w:r>
                        <w:rPr>
                          <w:smallCaps/>
                          <w:color w:val="000000"/>
                          <w:spacing w:val="10"/>
                          <w:sz w:val="14"/>
                          <w:szCs w:val="14"/>
                          <w:lang w:val="fr-FR"/>
                        </w:rPr>
                        <w:t>2318 7851</w:t>
                      </w:r>
                    </w:p>
                    <w:p>
                      <w:pPr>
                        <w:pStyle w:val="FrameContents"/>
                        <w:rPr/>
                      </w:pPr>
                      <w:r>
                        <w:rPr>
                          <w:sz w:val="14"/>
                          <w:szCs w:val="14"/>
                        </w:rPr>
                        <w:t>jeramia_poland</w:t>
                      </w:r>
                      <w:r>
                        <w:rPr>
                          <w:sz w:val="14"/>
                          <w:szCs w:val="14"/>
                        </w:rPr>
                        <w:t>@isb.edu</w:t>
                      </w:r>
                    </w:p>
                    <w:p>
                      <w:pPr>
                        <w:pStyle w:val="FrameContents"/>
                        <w:rPr/>
                      </w:pPr>
                      <w:r>
                        <w:rPr/>
                      </w:r>
                    </w:p>
                  </w:txbxContent>
                </v:textbox>
              </v:rect>
            </w:pict>
          </mc:Fallback>
        </mc:AlternateContent>
        <w:drawing>
          <wp:anchor behindDoc="1" distT="0" distB="0" distL="114300" distR="114300" simplePos="0" locked="0" layoutInCell="1" allowOverlap="1" relativeHeight="3">
            <wp:simplePos x="0" y="0"/>
            <wp:positionH relativeFrom="column">
              <wp:posOffset>0</wp:posOffset>
            </wp:positionH>
            <wp:positionV relativeFrom="paragraph">
              <wp:posOffset>635</wp:posOffset>
            </wp:positionV>
            <wp:extent cx="1490345" cy="59436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1490345" cy="59436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Normal"/>
        <w:widowControl w:val="false"/>
        <w:jc w:val="both"/>
        <w:rPr/>
      </w:pPr>
      <w:r>
        <w:rPr>
          <w:szCs w:val="22"/>
        </w:rPr>
        <w:t xml:space="preserve">April </w:t>
      </w:r>
      <w:r>
        <w:rPr>
          <w:szCs w:val="22"/>
        </w:rPr>
        <w:t>7</w:t>
      </w:r>
      <w:r>
        <w:rPr>
          <w:szCs w:val="22"/>
        </w:rPr>
        <w:t>, 201</w:t>
      </w:r>
      <w:r>
        <w:rPr>
          <w:szCs w:val="22"/>
        </w:rPr>
        <w:t>9</w:t>
      </w:r>
    </w:p>
    <w:p>
      <w:pPr>
        <w:pStyle w:val="Normal"/>
        <w:widowControl w:val="false"/>
        <w:jc w:val="both"/>
        <w:rPr>
          <w:sz w:val="24"/>
          <w:szCs w:val="24"/>
        </w:rPr>
      </w:pPr>
      <w:r>
        <w:rPr>
          <w:sz w:val="24"/>
          <w:szCs w:val="24"/>
        </w:rPr>
      </w:r>
    </w:p>
    <w:p>
      <w:pPr>
        <w:pStyle w:val="Normal"/>
        <w:tabs>
          <w:tab w:val="left" w:pos="720" w:leader="none"/>
          <w:tab w:val="left" w:pos="1440" w:leader="none"/>
        </w:tabs>
        <w:ind w:left="1440" w:hanging="1440"/>
        <w:rPr>
          <w:szCs w:val="22"/>
        </w:rPr>
      </w:pPr>
      <w:r>
        <w:rPr>
          <w:szCs w:val="22"/>
        </w:rPr>
      </w:r>
    </w:p>
    <w:p>
      <w:pPr>
        <w:pStyle w:val="Normal"/>
        <w:tabs>
          <w:tab w:val="left" w:pos="720" w:leader="none"/>
          <w:tab w:val="left" w:pos="1440" w:leader="none"/>
        </w:tabs>
        <w:ind w:left="1440" w:hanging="1440"/>
        <w:rPr>
          <w:szCs w:val="22"/>
        </w:rPr>
      </w:pPr>
      <w:r>
        <w:rPr>
          <w:szCs w:val="22"/>
        </w:rPr>
        <w:t>The Editors</w:t>
      </w:r>
    </w:p>
    <w:p>
      <w:pPr>
        <w:pStyle w:val="Normal"/>
        <w:tabs>
          <w:tab w:val="left" w:pos="720" w:leader="none"/>
          <w:tab w:val="left" w:pos="1440" w:leader="none"/>
        </w:tabs>
        <w:ind w:left="1440" w:hanging="1440"/>
        <w:rPr>
          <w:szCs w:val="22"/>
        </w:rPr>
      </w:pPr>
      <w:r>
        <w:rPr>
          <w:szCs w:val="22"/>
        </w:rPr>
        <w:t>The Review of Financial Studies</w:t>
      </w:r>
      <w:bookmarkStart w:id="0" w:name="_GoBack"/>
      <w:bookmarkEnd w:id="0"/>
    </w:p>
    <w:p>
      <w:pPr>
        <w:pStyle w:val="Normal"/>
        <w:tabs>
          <w:tab w:val="left" w:pos="720" w:leader="none"/>
          <w:tab w:val="left" w:pos="1440" w:leader="none"/>
        </w:tabs>
        <w:ind w:left="1440" w:hanging="1440"/>
        <w:rPr>
          <w:szCs w:val="22"/>
        </w:rPr>
      </w:pPr>
      <w:r>
        <w:rPr>
          <w:szCs w:val="22"/>
        </w:rPr>
        <w:t>Society for Financial Studies</w:t>
      </w:r>
    </w:p>
    <w:p>
      <w:pPr>
        <w:pStyle w:val="Normal"/>
        <w:tabs>
          <w:tab w:val="left" w:pos="720" w:leader="none"/>
          <w:tab w:val="left" w:pos="1440" w:leader="none"/>
        </w:tabs>
        <w:ind w:left="1440" w:hanging="1440"/>
        <w:rPr>
          <w:szCs w:val="22"/>
        </w:rPr>
      </w:pPr>
      <w:r>
        <w:rPr>
          <w:szCs w:val="22"/>
        </w:rPr>
        <w:t>PO Box 28494</w:t>
      </w:r>
    </w:p>
    <w:p>
      <w:pPr>
        <w:pStyle w:val="Normal"/>
        <w:tabs>
          <w:tab w:val="left" w:pos="720" w:leader="none"/>
          <w:tab w:val="left" w:pos="1440" w:leader="none"/>
        </w:tabs>
        <w:ind w:left="1440" w:hanging="1440"/>
        <w:rPr>
          <w:szCs w:val="22"/>
        </w:rPr>
      </w:pPr>
      <w:r>
        <w:rPr>
          <w:szCs w:val="22"/>
        </w:rPr>
        <w:t>Raleigh, NC 27611USA</w:t>
      </w:r>
    </w:p>
    <w:p>
      <w:pPr>
        <w:pStyle w:val="Normal"/>
        <w:tabs>
          <w:tab w:val="left" w:pos="720" w:leader="none"/>
          <w:tab w:val="left" w:pos="1440" w:leader="none"/>
        </w:tabs>
        <w:ind w:left="1440" w:hanging="1440"/>
        <w:rPr>
          <w:szCs w:val="22"/>
        </w:rPr>
      </w:pPr>
      <w:r>
        <w:rPr>
          <w:szCs w:val="22"/>
        </w:rPr>
      </w:r>
    </w:p>
    <w:p>
      <w:pPr>
        <w:pStyle w:val="Normal"/>
        <w:tabs>
          <w:tab w:val="left" w:pos="720" w:leader="none"/>
          <w:tab w:val="left" w:pos="1440" w:leader="none"/>
        </w:tabs>
        <w:ind w:left="1440" w:hanging="1440"/>
        <w:rPr>
          <w:szCs w:val="22"/>
        </w:rPr>
      </w:pPr>
      <w:r>
        <w:rPr>
          <w:szCs w:val="22"/>
        </w:rPr>
        <w:t>Dear Editors,</w:t>
      </w:r>
    </w:p>
    <w:p>
      <w:pPr>
        <w:pStyle w:val="Normal"/>
        <w:tabs>
          <w:tab w:val="left" w:pos="720" w:leader="none"/>
          <w:tab w:val="left" w:pos="1440" w:leader="none"/>
        </w:tabs>
        <w:ind w:left="1440" w:hanging="1440"/>
        <w:rPr>
          <w:szCs w:val="22"/>
        </w:rPr>
      </w:pPr>
      <w:r>
        <w:rPr>
          <w:szCs w:val="22"/>
        </w:rPr>
      </w:r>
    </w:p>
    <w:p>
      <w:pPr>
        <w:pStyle w:val="Normal"/>
        <w:tabs>
          <w:tab w:val="left" w:pos="720" w:leader="none"/>
          <w:tab w:val="left" w:pos="1440" w:leader="none"/>
        </w:tabs>
        <w:jc w:val="both"/>
        <w:rPr/>
      </w:pPr>
      <w:r>
        <w:rPr>
          <w:szCs w:val="22"/>
        </w:rPr>
        <w:t xml:space="preserve">We request you to consider </w:t>
      </w:r>
      <w:r>
        <w:rPr>
          <w:szCs w:val="22"/>
        </w:rPr>
        <w:t>my</w:t>
      </w:r>
      <w:r>
        <w:rPr>
          <w:szCs w:val="22"/>
        </w:rPr>
        <w:t xml:space="preserve"> paper, “</w:t>
      </w:r>
      <w:r>
        <w:rPr>
          <w:szCs w:val="22"/>
        </w:rPr>
        <w:t>Average Variance Managed Investment Timing</w:t>
      </w:r>
      <w:r>
        <w:rPr>
          <w:szCs w:val="22"/>
        </w:rPr>
        <w:t xml:space="preserve">”, for publication in the RFS. </w:t>
      </w:r>
    </w:p>
    <w:p>
      <w:pPr>
        <w:pStyle w:val="Normal"/>
        <w:tabs>
          <w:tab w:val="left" w:pos="720" w:leader="none"/>
          <w:tab w:val="left" w:pos="1440" w:leader="none"/>
        </w:tabs>
        <w:jc w:val="both"/>
        <w:rPr>
          <w:szCs w:val="22"/>
        </w:rPr>
      </w:pPr>
      <w:r>
        <w:rPr>
          <w:szCs w:val="22"/>
        </w:rPr>
      </w:r>
    </w:p>
    <w:p>
      <w:pPr>
        <w:pStyle w:val="Normal"/>
        <w:tabs>
          <w:tab w:val="left" w:pos="720" w:leader="none"/>
          <w:tab w:val="left" w:pos="1440" w:leader="none"/>
        </w:tabs>
        <w:jc w:val="both"/>
        <w:rPr/>
      </w:pPr>
      <w:r>
        <w:rPr>
          <w:szCs w:val="22"/>
        </w:rPr>
        <w:t>Using the decomposition of market index variance, I identify a better portfolio investment management signal. Weighting index investment by the inverse of the average of asset variance rather than the index variance is a new addition to the portfolio management literature letting investors capture better performance as measured by expected annualized returns,  performance ratios, costs, and utility gains. The average variance management strategy uses practical levels of leverage with lower turnover making it cheaper while providing utility gains for many classes of investors regardless of risk aversion or borrowing restrictions. I show evidence consistent with the argument that average variance is the unsystematic and uncompensated component of economy-wide risk. The average variance management strategy works across asset classes where other approaches fail. The returns to the AV managed portfolio improve our understanding of the risk-return dynamic by showing that the time variation in the mix between the systematic and unsystematic parts of the market index variance is an essential dimension of risk and optimal investment over time.</w:t>
      </w:r>
    </w:p>
    <w:p>
      <w:pPr>
        <w:pStyle w:val="Normal"/>
        <w:tabs>
          <w:tab w:val="left" w:pos="720" w:leader="none"/>
          <w:tab w:val="left" w:pos="1440" w:leader="none"/>
        </w:tabs>
        <w:jc w:val="both"/>
        <w:rPr>
          <w:szCs w:val="22"/>
        </w:rPr>
      </w:pPr>
      <w:r>
        <w:rPr/>
      </w:r>
    </w:p>
    <w:p>
      <w:pPr>
        <w:pStyle w:val="Normal"/>
        <w:tabs>
          <w:tab w:val="left" w:pos="720" w:leader="none"/>
          <w:tab w:val="left" w:pos="1440" w:leader="none"/>
        </w:tabs>
        <w:jc w:val="both"/>
        <w:rPr/>
      </w:pPr>
      <w:r>
        <w:rPr>
          <w:szCs w:val="22"/>
        </w:rPr>
        <w:t>Given the importance of the question and the implications of my results on investors and anyone interested in the risk-return dynamics in the economy my paper would be of interest to a wide readership.</w:t>
      </w:r>
    </w:p>
    <w:p>
      <w:pPr>
        <w:pStyle w:val="Normal"/>
        <w:tabs>
          <w:tab w:val="left" w:pos="720" w:leader="none"/>
          <w:tab w:val="left" w:pos="1440" w:leader="none"/>
        </w:tabs>
        <w:jc w:val="both"/>
        <w:rPr>
          <w:szCs w:val="22"/>
        </w:rPr>
      </w:pPr>
      <w:r>
        <w:rPr>
          <w:szCs w:val="22"/>
        </w:rPr>
      </w:r>
    </w:p>
    <w:p>
      <w:pPr>
        <w:pStyle w:val="TextBody"/>
        <w:tabs>
          <w:tab w:val="left" w:pos="720" w:leader="none"/>
          <w:tab w:val="left" w:pos="1440" w:leader="none"/>
        </w:tabs>
        <w:rPr>
          <w:sz w:val="22"/>
          <w:szCs w:val="22"/>
        </w:rPr>
      </w:pPr>
      <w:r>
        <w:rPr>
          <w:sz w:val="22"/>
          <w:szCs w:val="22"/>
        </w:rPr>
        <w:t>With best regards,</w:t>
      </w:r>
    </w:p>
    <w:p>
      <w:pPr>
        <w:pStyle w:val="Normal"/>
        <w:rPr>
          <w:szCs w:val="22"/>
        </w:rPr>
      </w:pPr>
      <w:r>
        <w:rPr>
          <w:szCs w:val="22"/>
        </w:rPr>
      </w:r>
    </w:p>
    <w:p>
      <w:pPr>
        <w:pStyle w:val="Normal"/>
        <w:rPr/>
      </w:pPr>
      <w:r>
        <w:rPr>
          <w:szCs w:val="22"/>
        </w:rPr>
        <w:t>Jeramia Poland</w:t>
      </w:r>
    </w:p>
    <w:p>
      <w:pPr>
        <w:pStyle w:val="Header"/>
        <w:tabs>
          <w:tab w:val="left" w:pos="6844" w:leader="none"/>
        </w:tabs>
        <w:rPr/>
      </w:pPr>
      <w:r>
        <w:rPr/>
      </w:r>
    </w:p>
    <w:sectPr>
      <w:type w:val="nextPage"/>
      <w:pgSz w:w="12240" w:h="15840"/>
      <w:pgMar w:left="1440" w:right="1440" w:header="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13f66"/>
    <w:pPr>
      <w:widowControl/>
      <w:bidi w:val="0"/>
      <w:jc w:val="left"/>
    </w:pPr>
    <w:rPr>
      <w:rFonts w:ascii="Times New Roman" w:hAnsi="Times New Roman" w:eastAsia="Times New Roman" w:cs="Times New Roman"/>
      <w:color w:val="auto"/>
      <w:kern w:val="0"/>
      <w:sz w:val="22"/>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e13f6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rsid w:val="00c50f1b"/>
    <w:pPr>
      <w:jc w:val="both"/>
    </w:pPr>
    <w:rPr>
      <w:rFonts w:eastAsia="SimSun"/>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e13f66"/>
    <w:pPr>
      <w:tabs>
        <w:tab w:val="center" w:pos="4320" w:leader="none"/>
        <w:tab w:val="right" w:pos="8640" w:leader="none"/>
      </w:tabs>
    </w:pPr>
    <w:rPr/>
  </w:style>
  <w:style w:type="paragraph" w:styleId="PlainText">
    <w:name w:val="Plain Text"/>
    <w:basedOn w:val="Normal"/>
    <w:qFormat/>
    <w:rsid w:val="00e13f66"/>
    <w:pPr/>
    <w:rPr>
      <w:rFonts w:ascii="Courier New" w:hAnsi="Courier New" w:cs="Courier New"/>
      <w:sz w:val="20"/>
    </w:rPr>
  </w:style>
  <w:style w:type="paragraph" w:styleId="BalloonText">
    <w:name w:val="Balloon Text"/>
    <w:basedOn w:val="Normal"/>
    <w:semiHidden/>
    <w:qFormat/>
    <w:rsid w:val="00eb78f1"/>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1</Pages>
  <Words>264</Words>
  <Characters>1525</Characters>
  <CharactersWithSpaces>1773</CharactersWithSpaces>
  <Paragraphs>19</Paragraphs>
  <Company>NYU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2018-04-25T07:58:00Z</dcterms:created>
  <dc:creator>jwurgler</dc:creator>
  <dc:description/>
  <dc:language>en-US</dc:language>
  <cp:lastModifiedBy/>
  <cp:lastPrinted>2016-01-15T12:29:00Z</cp:lastPrinted>
  <dcterms:modified xsi:type="dcterms:W3CDTF">2019-04-07T12:58:23Z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NYU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