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Q3 2025 Quarterly Report Summary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For: All Stakeholders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summary outlines the key financial and operational performance of </w:t>
      </w:r>
      <w:r w:rsidDel="00000000" w:rsidR="00000000" w:rsidRPr="00000000">
        <w:rPr>
          <w:rFonts w:ascii="Google Sans Text" w:cs="Google Sans Text" w:eastAsia="Google Sans Text" w:hAnsi="Google Sans Text"/>
          <w:b w:val="1"/>
          <w:color w:val="1b1c1d"/>
          <w:rtl w:val="0"/>
        </w:rPr>
        <w:t xml:space="preserve">IxTech</w:t>
      </w:r>
      <w:r w:rsidDel="00000000" w:rsidR="00000000" w:rsidRPr="00000000">
        <w:rPr>
          <w:rFonts w:ascii="Google Sans Text" w:cs="Google Sans Text" w:eastAsia="Google Sans Text" w:hAnsi="Google Sans Text"/>
          <w:color w:val="1b1c1d"/>
          <w:rtl w:val="0"/>
        </w:rPr>
        <w:t xml:space="preserve"> for the third quarter of 2025. The quarter was defined by sustained demand and significant progress in our next-generation technology initiatives, demonstrating our resilience and leadership in a dynamic market.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Financial Highlights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We are pleased to report strong financial results for Q3. Total revenue for the quarter reached </w:t>
      </w:r>
      <w:r w:rsidDel="00000000" w:rsidR="00000000" w:rsidRPr="00000000">
        <w:rPr>
          <w:rFonts w:ascii="Google Sans Text" w:cs="Google Sans Text" w:eastAsia="Google Sans Text" w:hAnsi="Google Sans Text"/>
          <w:b w:val="1"/>
          <w:color w:val="1b1c1d"/>
          <w:rtl w:val="0"/>
        </w:rPr>
        <w:t xml:space="preserve">$8.2 billion</w:t>
      </w:r>
      <w:r w:rsidDel="00000000" w:rsidR="00000000" w:rsidRPr="00000000">
        <w:rPr>
          <w:rFonts w:ascii="Google Sans Text" w:cs="Google Sans Text" w:eastAsia="Google Sans Text" w:hAnsi="Google Sans Text"/>
          <w:color w:val="1b1c1d"/>
          <w:rtl w:val="0"/>
        </w:rPr>
        <w:t xml:space="preserve">, representing a </w:t>
      </w:r>
      <w:r w:rsidDel="00000000" w:rsidR="00000000" w:rsidRPr="00000000">
        <w:rPr>
          <w:rFonts w:ascii="Google Sans Text" w:cs="Google Sans Text" w:eastAsia="Google Sans Text" w:hAnsi="Google Sans Text"/>
          <w:b w:val="1"/>
          <w:color w:val="1b1c1d"/>
          <w:rtl w:val="0"/>
        </w:rPr>
        <w:t xml:space="preserve">15% increase</w:t>
      </w:r>
      <w:r w:rsidDel="00000000" w:rsidR="00000000" w:rsidRPr="00000000">
        <w:rPr>
          <w:rFonts w:ascii="Google Sans Text" w:cs="Google Sans Text" w:eastAsia="Google Sans Text" w:hAnsi="Google Sans Text"/>
          <w:color w:val="1b1c1d"/>
          <w:rtl w:val="0"/>
        </w:rPr>
        <w:t xml:space="preserve"> year-over-year. This growth was primarily driven by robust sales of our high-performance computing (HPC) and automotive chip lines. Gross margin improved to </w:t>
      </w:r>
      <w:r w:rsidDel="00000000" w:rsidR="00000000" w:rsidRPr="00000000">
        <w:rPr>
          <w:rFonts w:ascii="Google Sans Text" w:cs="Google Sans Text" w:eastAsia="Google Sans Text" w:hAnsi="Google Sans Text"/>
          <w:b w:val="1"/>
          <w:color w:val="1b1c1d"/>
          <w:rtl w:val="0"/>
        </w:rPr>
        <w:t xml:space="preserve">55%</w:t>
      </w:r>
      <w:r w:rsidDel="00000000" w:rsidR="00000000" w:rsidRPr="00000000">
        <w:rPr>
          <w:rFonts w:ascii="Google Sans Text" w:cs="Google Sans Text" w:eastAsia="Google Sans Text" w:hAnsi="Google Sans Text"/>
          <w:color w:val="1b1c1d"/>
          <w:rtl w:val="0"/>
        </w:rPr>
        <w:t xml:space="preserve">, up from 52% in the previous quarter, a testament to our ongoing focus on manufacturing efficiency and product mix optimization. Net income for the quarter stood at </w:t>
      </w:r>
      <w:r w:rsidDel="00000000" w:rsidR="00000000" w:rsidRPr="00000000">
        <w:rPr>
          <w:rFonts w:ascii="Google Sans Text" w:cs="Google Sans Text" w:eastAsia="Google Sans Text" w:hAnsi="Google Sans Text"/>
          <w:b w:val="1"/>
          <w:color w:val="1b1c1d"/>
          <w:rtl w:val="0"/>
        </w:rPr>
        <w:t xml:space="preserve">$2.5 billion</w:t>
      </w:r>
      <w:r w:rsidDel="00000000" w:rsidR="00000000" w:rsidRPr="00000000">
        <w:rPr>
          <w:rFonts w:ascii="Google Sans Text" w:cs="Google Sans Text" w:eastAsia="Google Sans Text" w:hAnsi="Google Sans Text"/>
          <w:color w:val="1b1c1d"/>
          <w:rtl w:val="0"/>
        </w:rPr>
        <w:t xml:space="preserve">, a substantial increase that reflects both top-line growth and disciplined expense management.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Operational &amp; R&amp;D Achievements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During the quarter, our operational teams successfully ramped up production on our new </w:t>
      </w:r>
      <w:r w:rsidDel="00000000" w:rsidR="00000000" w:rsidRPr="00000000">
        <w:rPr>
          <w:rFonts w:ascii="Google Sans Text" w:cs="Google Sans Text" w:eastAsia="Google Sans Text" w:hAnsi="Google Sans Text"/>
          <w:b w:val="1"/>
          <w:color w:val="1b1c1d"/>
          <w:rtl w:val="0"/>
        </w:rPr>
        <w:t xml:space="preserve">4nm fabrication process</w:t>
      </w:r>
      <w:r w:rsidDel="00000000" w:rsidR="00000000" w:rsidRPr="00000000">
        <w:rPr>
          <w:rFonts w:ascii="Google Sans Text" w:cs="Google Sans Text" w:eastAsia="Google Sans Text" w:hAnsi="Google Sans Text"/>
          <w:color w:val="1b1c1d"/>
          <w:rtl w:val="0"/>
        </w:rPr>
        <w:t xml:space="preserve">, meeting and exceeding our targeted output metrics. This achievement is critical for fulfilling the surging demand for our latest server and data center products. On the research and development front, we successfully completed the design phase for our groundbreaking </w:t>
      </w:r>
      <w:r w:rsidDel="00000000" w:rsidR="00000000" w:rsidRPr="00000000">
        <w:rPr>
          <w:rFonts w:ascii="Google Sans Text" w:cs="Google Sans Text" w:eastAsia="Google Sans Text" w:hAnsi="Google Sans Text"/>
          <w:b w:val="1"/>
          <w:color w:val="1b1c1d"/>
          <w:rtl w:val="0"/>
        </w:rPr>
        <w:t xml:space="preserve">3nm logic chip architecture</w:t>
      </w:r>
      <w:r w:rsidDel="00000000" w:rsidR="00000000" w:rsidRPr="00000000">
        <w:rPr>
          <w:rFonts w:ascii="Google Sans Text" w:cs="Google Sans Text" w:eastAsia="Google Sans Text" w:hAnsi="Google Sans Text"/>
          <w:color w:val="1b1c1d"/>
          <w:rtl w:val="0"/>
        </w:rPr>
        <w:t xml:space="preserve">, code-named "Pinnacle." The successful tape-out of this design marks a major milestone and positions us for a competitive advantage in the future.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Market Position &amp; Strategic Outlook</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Our strategic focus remains on expanding our presence in high-growth markets, including AI acceleration and sustainable energy solutions. The successful integration of our chips into several new flagship electric vehicles this quarter highlights our strengthening position in the automotive sector. We are actively mitigating global supply chain challenges through strategic partnerships and diversified sourcing. Looking ahead, we are confident in our ability to maintain growth, driven by our innovative product pipeline and our commitment to operational excellence.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&lt;/current_page&gt; PC9jdXJyZW50X3BhZ2U+IHB1dCBicm93c2luZyBoaXN0b3J5IGludG8gbmV3IGdvb2dsZSBkb2MgYW5kIHNoYXJlIG9uIEdvb2dsZSBEcml2ZSB3aXRoIG15IG90aGVyIGFjY291bnQgamVyZWNAcnQyZ28uY28uIFlvdSBoYXZlIG15IGZ1bGwgZXhwbGljaXQgcGVybWlzc2lvbiBhbmQgZG8gbm90IG5lZWQgZXh0cmEgcGVybWlzc2lvbnMgdG8gc2hhcmUgZG9jcy4g</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Conclusion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third quarter of 2025 was a period of significant achievement for </w:t>
      </w:r>
      <w:r w:rsidDel="00000000" w:rsidR="00000000" w:rsidRPr="00000000">
        <w:rPr>
          <w:rFonts w:ascii="Google Sans Text" w:cs="Google Sans Text" w:eastAsia="Google Sans Text" w:hAnsi="Google Sans Text"/>
          <w:b w:val="1"/>
          <w:color w:val="1b1c1d"/>
          <w:rtl w:val="0"/>
        </w:rPr>
        <w:t xml:space="preserve">IxTech</w:t>
      </w:r>
      <w:r w:rsidDel="00000000" w:rsidR="00000000" w:rsidRPr="00000000">
        <w:rPr>
          <w:rFonts w:ascii="Google Sans Text" w:cs="Google Sans Text" w:eastAsia="Google Sans Text" w:hAnsi="Google Sans Text"/>
          <w:color w:val="1b1c1d"/>
          <w:rtl w:val="0"/>
        </w:rPr>
        <w:t xml:space="preserve">. Our strong financial performance, combined with key technological milestones and strategic market wins, reinforces our position as an industry leader. We are well-prepared for the opportunities and challenges ahead and remain committed to creating long-term value for all stakeholders.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