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5205"/>
        <w:gridCol w:w="2280"/>
        <w:tblGridChange w:id="0">
          <w:tblGrid>
            <w:gridCol w:w="1515"/>
            <w:gridCol w:w="520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crea el diseño de la página, se integra inició de sesión y cierre de sesión.</w:t>
              <w:br w:type="textWrapping"/>
              <w:t xml:space="preserve">Se crea vista control de calidad y diseño menú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Tomás Olmos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copia formato de vista calidad, se adapta a vista gerencia, bodega y proveedor. Se añaden botones con requisitos funcionales.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Vicente Núñez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hacen cambios en las tablas para entendimiento de grandes volúmenes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Vicente Núñez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detallan funciones del control de calidad y se desarrollan botones.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Tomás Olmos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desarrollan las funciones de proveedor, generar despacho y visualizar órdenes. Solo menús, no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Vicente Núñez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pule control de calidad con textos demostrativos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Tomás Olmos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desarrollan las funciones de bodega, ver inventario, ver órdenes de embalado, generar etiquetas. Solo menús y formato de ingreso a los botones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Vicente Núñez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desarrollan las funciones de gerencia, ver proveedor, con sus órdenes y lista de ellos, ver órdenes emitidas por bodega, y ver órdenes emitidas por calidad. Solo menús y 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Vicente Núñez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generan ids de ejemplo en cada vista para entendimiento de la conexión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Vicente Núñez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desarrolla en bodega más botones que generen documentos visibles, en inventario, sección compras y editar inventario, en órdenes de embalado, se puede ingresar embalaje defectuoso. Dentro de compras se desarrolla la sección de generar compras.</w:t>
              <w:br w:type="textWrapping"/>
              <w:t xml:space="preserve">Se puede hacer cierres de día generando documentos a gerencia.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Vicente Núñez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1.5 .0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gerencia, proveedor y bodega se agregan documentos con formatos diferentes para cada tipo de registro, se añaden campos faltantes como ver órdenes de compra de bodega dentro de proveedor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Vicente Núñez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juntan las vistas en una sola para poder entrar al sistema intuitivamente, cumpliendo con el registro de inicio de sesión para cada rol.</w:t>
              <w:br w:type="textWrapping"/>
              <w:t xml:space="preserve">Se agrega botón cambiar de usuario y se arreglan las conexiones de cerrar sesión en los prototipos.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Jeremías Silva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ingresan mensajes de error para campos erróneos, se generan al menos 3 ejemplos en vistas que lo requieran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Vicente Núñez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