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06F3D" w:val="clear"/>
            <w:tcMar>
              <w:top w:type="dxa" w:w="600"/>
              <w:left w:type="dxa" w:w="480"/>
              <w:bottom w:type="dxa" w:w="600"/>
              <w:right w:type="dxa" w:w="480"/>
            </w:tcMar>
          </w:tcPr>
          <w:p>
            <w:pPr>
              <w:spacing w:after="120" w:before="0"/>
            </w:pPr>
            <w:r>
              <w:rPr>
                <w:rFonts w:ascii="Montserrat" w:cs="Montserrat" w:eastAsia="Montserrat" w:hAnsi="Montserrat"/>
                <w:b/>
                <w:bCs/>
                <w:caps/>
                <w:color w:val="D8F0E0"/>
                <w:sz w:val="22"/>
                <w:szCs w:val="22"/>
              </w:rPr>
              <w:t xml:space="preserve">B&amp;H  PHOTO VIDEO PRO AUDIO</w:t>
            </w:r>
          </w:p>
          <w:p>
            <w:pPr>
              <w:spacing w:after="240" w:before="0"/>
            </w:pPr>
            <w:r>
              <w:rPr>
                <w:rFonts w:ascii="Montserrat" w:cs="Montserrat" w:eastAsia="Montserrat" w:hAnsi="Montserrat"/>
                <w:b/>
                <w:bCs/>
                <w:color w:val="FFFFFF"/>
                <w:sz w:val="64"/>
                <w:szCs w:val="64"/>
              </w:rPr>
              <w:t xml:space="preserve">B2B Hub</w:t>
            </w:r>
          </w:p>
          <w:p>
            <w:pPr>
              <w:spacing w:after="120" w:before="0"/>
            </w:pPr>
            <w:r>
              <w:rPr>
                <w:rFonts w:ascii="Montserrat" w:cs="Montserrat" w:eastAsia="Montserrat" w:hAnsi="Montserrat"/>
                <w:b w:val="false"/>
                <w:bCs w:val="false"/>
                <w:color w:val="FFFFFF"/>
                <w:sz w:val="40"/>
                <w:szCs w:val="40"/>
              </w:rPr>
              <w:t xml:space="preserve">Target State Documentation</w:t>
            </w:r>
          </w:p>
          <w:p>
            <w:pPr>
              <w:spacing w:after="0" w:before="0"/>
            </w:pPr>
            <w:r>
              <w:rPr>
                <w:rFonts w:ascii="Open Sans" w:cs="Open Sans" w:eastAsia="Open Sans" w:hAnsi="Open Sans"/>
                <w:color w:val="D8F0E0"/>
                <w:sz w:val="22"/>
                <w:szCs w:val="22"/>
              </w:rPr>
              <w:t xml:space="preserve">Admin Experience · Customer Experience · Technical Architecture</w:t>
            </w:r>
          </w:p>
        </w:tc>
      </w:tr>
    </w:tbl>
    <w:p>
      <w:pPr>
        <w:spacing w:after="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1.0 — March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Architecture Review Pending — Phase 1 Target: August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Jerel Smith · B2B Product Management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Hub Modernization &amp; CMS Light — Phase 1 go-live target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Companion Docs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Hub Current State v1.0 · PRD v1.2 · Technical Architecture v1.2 · User Stories &amp; Gherkin Scenarios v2.0</w:t>
            </w:r>
          </w:p>
        </w:tc>
      </w:tr>
    </w:tbl>
    <w:p>
      <w:pPr>
        <w:spacing w:after="0" w:before="200"/>
      </w:pPr>
    </w:p>
    <w:p>
      <w:pPr>
        <w:spacing w:after="80" w:before="0"/>
      </w:pPr>
      <w:r>
        <w:rPr>
          <w:rFonts w:ascii="Montserrat" w:cs="Montserrat" w:eastAsia="Montserrat" w:hAnsi="Montserrat"/>
          <w:b/>
          <w:bCs/>
          <w:color w:val="333333"/>
          <w:sz w:val="24"/>
          <w:szCs w:val="24"/>
        </w:rPr>
        <w:t xml:space="preserve">Purpose</w:t>
      </w:r>
    </w:p>
    <w:p>
      <w:pPr>
        <w:spacing w:after="80" w:before="80"/>
      </w:pPr>
      <w:r>
        <w:rPr>
          <w:rFonts w:ascii="Open Sans" w:cs="Open Sans" w:eastAsia="Open Sans" w:hAnsi="Open Sans"/>
          <w:color w:val="333333"/>
          <w:sz w:val="20"/>
          <w:szCs w:val="20"/>
        </w:rPr>
        <w:t xml:space="preserve">This document describes the target state for the B&amp;H B2B Hub following the Phase 1 go-live of the B2B Hub Modernization &amp; CMS Light initiative in August 2026. It is the direct companion to the B2B Hub Current State Documentation v1.0 and should be read alongside that baseline.</w:t>
      </w:r>
    </w:p>
    <w:p>
      <w:pPr>
        <w:spacing w:after="80" w:before="80"/>
      </w:pPr>
      <w:r>
        <w:rPr>
          <w:rFonts w:ascii="Open Sans" w:cs="Open Sans" w:eastAsia="Open Sans" w:hAnsi="Open Sans"/>
          <w:color w:val="333333"/>
          <w:sz w:val="20"/>
          <w:szCs w:val="20"/>
        </w:rPr>
        <w:t xml:space="preserve">The target state is organized across the same three dimensions as the current state document — Admin Experience, Customer Experience, and Technical Architecture — enabling direct before/after comparison. Every capability described here is tied to a PRD v1.2 requirement, a Phase 1 delivery milestone, or a defined success metric.</w:t>
      </w:r>
    </w:p>
    <w:p>
      <w:pPr>
        <w:spacing w:after="80" w:before="80"/>
      </w:pPr>
      <w:r>
        <w:rPr>
          <w:rFonts w:ascii="Open Sans" w:cs="Open Sans" w:eastAsia="Open Sans" w:hAnsi="Open Sans"/>
          <w:color w:val="333333"/>
          <w:sz w:val="20"/>
          <w:szCs w:val="20"/>
        </w:rPr>
        <w:t xml:space="preserve">This document reflects the Phase 1 scope. Phase 2 capabilities (in-portal notifications, tiered admin roles, full portal parameter integration, asset management) are called out where relevant but are not part of the August 2026 target.</w:t>
      </w:r>
    </w:p>
    <w:p>
      <w:r>
        <w:br/>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9A59" w:val="clear"/>
            <w:tcMar>
              <w:top w:type="dxa" w:w="200"/>
              <w:left w:type="dxa" w:w="240"/>
              <w:bottom w:type="dxa" w:w="200"/>
              <w:right w:type="dxa" w:w="240"/>
            </w:tcMar>
          </w:tcPr>
          <w:p>
            <w:pPr>
              <w:spacing w:after="20" w:before="0"/>
            </w:pPr>
            <w:r>
              <w:rPr>
                <w:rFonts w:ascii="Montserrat" w:cs="Montserrat" w:eastAsia="Montserrat" w:hAnsi="Montserrat"/>
                <w:b/>
                <w:bCs/>
                <w:color w:val="D8F0E0"/>
                <w:sz w:val="48"/>
                <w:szCs w:val="48"/>
              </w:rPr>
              <w:t xml:space="preserve">01</w:t>
            </w:r>
          </w:p>
          <w:p>
            <w:pPr>
              <w:spacing w:after="20" w:before="0"/>
            </w:pPr>
            <w:r>
              <w:rPr>
                <w:rFonts w:ascii="Montserrat" w:cs="Montserrat" w:eastAsia="Montserrat" w:hAnsi="Montserrat"/>
                <w:b/>
                <w:bCs/>
                <w:color w:val="FFFFFF"/>
                <w:sz w:val="36"/>
                <w:szCs w:val="36"/>
              </w:rPr>
              <w:t xml:space="preserve">Admin Experience</w:t>
            </w:r>
          </w:p>
          <w:p>
            <w:pPr>
              <w:spacing w:after="0" w:before="0"/>
            </w:pPr>
            <w:r>
              <w:rPr>
                <w:rFonts w:ascii="Open Sans" w:cs="Open Sans" w:eastAsia="Open Sans" w:hAnsi="Open Sans"/>
                <w:color w:val="D8F0E0"/>
                <w:sz w:val="20"/>
                <w:szCs w:val="20"/>
              </w:rPr>
              <w:t xml:space="preserve">How the B2B business team manages hub content in the target state</w:t>
            </w:r>
          </w:p>
        </w:tc>
      </w:tr>
    </w:tbl>
    <w:p>
      <w:pPr>
        <w:spacing w:after="0" w:before="160"/>
      </w:pPr>
    </w:p>
    <w:p>
      <w:pPr>
        <w:pStyle w:val="Heading2"/>
        <w:spacing w:after="80" w:before="280"/>
      </w:pPr>
      <w:r>
        <w:rPr>
          <w:rFonts w:ascii="Montserrat" w:cs="Montserrat" w:eastAsia="Montserrat" w:hAnsi="Montserrat"/>
          <w:b/>
          <w:bCs/>
          <w:color w:val="333333"/>
          <w:sz w:val="24"/>
          <w:szCs w:val="24"/>
        </w:rPr>
        <w:t xml:space="preserve">1.1  The CMS Light Paradigm Shift</w:t>
      </w:r>
    </w:p>
    <w:p>
      <w:pPr>
        <w:spacing w:after="80" w:before="80"/>
      </w:pPr>
      <w:r>
        <w:rPr>
          <w:rFonts w:ascii="Open Sans" w:cs="Open Sans" w:eastAsia="Open Sans" w:hAnsi="Open Sans"/>
          <w:color w:val="333333"/>
          <w:sz w:val="20"/>
          <w:szCs w:val="20"/>
        </w:rPr>
        <w:t xml:space="preserve">The most significant change in the target state is the elimination of the developer-as-gatekeeper model for content management. In Phase 1, all hub and segment page content, cooperative contract entity data, routing configurations, and SEO metadata move from hard-coded templates into a structured CMS database served via API — making the B2B business team self-sufficient for the first time since the hub launched in 2018.</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3F9A59" w:val="clear"/>
            <w:tcMar>
              <w:top w:type="dxa" w:w="80"/>
              <w:left w:type="dxa" w:w="80"/>
              <w:bottom w:type="dxa" w:w="80"/>
              <w:right w:type="dxa" w:w="80"/>
            </w:tcMar>
          </w:tcPr>
          <w:p>
            <w:pPr>
              <w:spacing w:after="0" w:before="0"/>
            </w:pPr>
            <w:r>
              <w:rPr>
                <w:rFonts w:ascii="Open Sans" w:cs="Open Sans" w:eastAsia="Open Sans" w:hAnsi="Open Sans"/>
                <w:b/>
                <w:bCs/>
                <w:color w:val="FFFFFF"/>
                <w:sz w:val="16"/>
                <w:szCs w:val="16"/>
              </w:rPr>
              <w:t xml:space="preserve">✓ TARGET OUTCOME</w:t>
            </w:r>
          </w:p>
        </w:tc>
        <w:tc>
          <w:tcPr>
            <w:tcW w:type="dxa" w:w="9000"/>
            <w:tcBorders>
              <w:top w:val="none" w:color="FFFFFF" w:sz="0"/>
              <w:left w:val="single" w:color="3F9A59" w:sz="6"/>
              <w:bottom w:val="none" w:color="FFFFFF" w:sz="0"/>
              <w:right w:val="none" w:color="FFFFFF" w:sz="0"/>
            </w:tcBorders>
            <w:shd w:fill="F5FBF7" w:val="clear"/>
            <w:tcMar>
              <w:top w:type="dxa" w:w="80"/>
              <w:left w:type="dxa" w:w="160"/>
              <w:bottom w:type="dxa" w:w="80"/>
              <w:right w:type="dxa" w:w="120"/>
            </w:tcMar>
          </w:tcPr>
          <w:p>
            <w:pPr>
              <w:spacing w:after="20" w:before="20"/>
            </w:pPr>
            <w:r>
              <w:rPr>
                <w:rFonts w:ascii="Open Sans" w:cs="Open Sans" w:eastAsia="Open Sans" w:hAnsi="Open Sans"/>
                <w:color w:val="333333"/>
                <w:sz w:val="18"/>
                <w:szCs w:val="18"/>
              </w:rPr>
              <w:t xml:space="preserve">80%+ of content updates completed without a developer ticket within 6 months of launch.</w:t>
            </w:r>
          </w:p>
          <w:p>
            <w:pPr>
              <w:spacing w:after="20" w:before="20"/>
            </w:pPr>
            <w:r>
              <w:rPr>
                <w:rFonts w:ascii="Open Sans" w:cs="Open Sans" w:eastAsia="Open Sans" w:hAnsi="Open Sans"/>
                <w:color w:val="333333"/>
                <w:sz w:val="18"/>
                <w:szCs w:val="18"/>
              </w:rPr>
              <w:t xml:space="preserve">Time from business request to live content change: under 4 hours (down from 2–8 weeks).</w:t>
            </w:r>
          </w:p>
          <w:p>
            <w:pPr>
              <w:spacing w:after="20" w:before="20"/>
            </w:pPr>
            <w:r>
              <w:rPr>
                <w:rFonts w:ascii="Open Sans" w:cs="Open Sans" w:eastAsia="Open Sans" w:hAnsi="Open Sans"/>
                <w:color w:val="333333"/>
                <w:sz w:val="18"/>
                <w:szCs w:val="18"/>
              </w:rPr>
              <w:t xml:space="preserve">Stakeholder NPS on content management experience: ≥ 8/10 (measured quarterly with Ariel Goldman + CMS operators).</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1.2  CMS Admin UI — Core Capabilities</w:t>
      </w:r>
    </w:p>
    <w:p>
      <w:pPr>
        <w:spacing w:after="80" w:before="80"/>
      </w:pPr>
      <w:r>
        <w:rPr>
          <w:rFonts w:ascii="Open Sans" w:cs="Open Sans" w:eastAsia="Open Sans" w:hAnsi="Open Sans"/>
          <w:color w:val="333333"/>
          <w:sz w:val="20"/>
          <w:szCs w:val="20"/>
        </w:rPr>
        <w:t xml:space="preserve">The CMS Admin UI is an internal web application accessible to authorized B2B operators. It surfaces a structured, field-based editing interface for all hub content entities — no code access required.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gridSpan w:val="1"/>
            <w:tcBorders>
              <w:top w:val="single" w:color="CCCCCC" w:sz="1"/>
              <w:left w:val="single" w:color="CCCCCC" w:sz="1"/>
              <w:bottom w:val="single" w:color="CCCCCC" w:sz="1"/>
              <w:right w:val="single" w:color="CCCCCC" w:sz="1"/>
            </w:tcBorders>
            <w:shd w:fill="007AB8"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Capability</w:t>
            </w:r>
          </w:p>
        </w:tc>
        <w:tc>
          <w:tcPr>
            <w:tcW w:type="dxa" w:w="4160"/>
            <w:gridSpan w:val="1"/>
            <w:tcBorders>
              <w:top w:val="single" w:color="CCCCCC" w:sz="1"/>
              <w:left w:val="single" w:color="CCCCCC" w:sz="1"/>
              <w:bottom w:val="single" w:color="CCCCCC" w:sz="1"/>
              <w:right w:val="single" w:color="CCCCCC" w:sz="1"/>
            </w:tcBorders>
            <w:shd w:fill="007AB8"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What It Enables</w:t>
            </w:r>
          </w:p>
        </w:tc>
        <w:tc>
          <w:tcPr>
            <w:tcW w:type="dxa" w:w="2800"/>
            <w:gridSpan w:val="1"/>
            <w:tcBorders>
              <w:top w:val="single" w:color="CCCCCC" w:sz="1"/>
              <w:left w:val="single" w:color="CCCCCC" w:sz="1"/>
              <w:bottom w:val="single" w:color="CCCCCC" w:sz="1"/>
              <w:right w:val="single" w:color="CCCCCC" w:sz="1"/>
            </w:tcBorders>
            <w:shd w:fill="007AB8"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Primary Operator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Page Content Editor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Edit hero headlines, body copy, CTAs, and benefits content for all hub pages, all 12 segment pages, and all 7 contract pages — without a dev ticket.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Ariel Goldman, B2B Ops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Contract Entity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Add, edit, and deactivate cooperative contract entries — name, logo, blurb, contract number, page link, segment assignments, display order. Contract pages auto-update from entity changes.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Ariel Goldman, Josh Bernstein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Draft / Publish Workflow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Save edits as a draft. Preview content in a staging environment before publishing. Publish pushes changes live and triggers CDN cache invalidation automatically.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All CMS operators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Routing Config Editor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Manage state → contract/portal mappings via a data-driven table. Add new states, modify routing rules, and adjust priority order without code changes.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Jerel Smith, Brendan Bagley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SEO Metadata Editor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Edit meta titles, descriptions, canonical URLs, and robots directives per page — without touching templates.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Marketing / Content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Error State Editor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Configure per-verification-path error messages (D&amp;B, domain whitelist, manual review). Each error code gets a defined message and next-step CTA managed in the CMS.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Ariel Goldman, B2B Ops Team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Audit Log Viewer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Full record of every content change: entity type, field changed, old value, new value, user ID, and timestamp. Enables rollback review and accountability.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Jerel Smith, Ariel Goldman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Role-Based Access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Phase 1: Two roles — Admin (full access) and Editor (content only, no routing/config). Phase 2: Tiered admin with segment-scoped editing.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Ceren Ozgul / Jerel Smith</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1.3  The New Content Update Workflow</w:t>
      </w:r>
    </w:p>
    <w:p>
      <w:pPr>
        <w:spacing w:after="80" w:before="80"/>
      </w:pPr>
      <w:r>
        <w:rPr>
          <w:rFonts w:ascii="Open Sans" w:cs="Open Sans" w:eastAsia="Open Sans" w:hAnsi="Open Sans"/>
          <w:color w:val="333333"/>
          <w:sz w:val="20"/>
          <w:szCs w:val="20"/>
        </w:rPr>
        <w:t xml:space="preserve">The end-to-end content change process in the target state eliminates all developer involvement for content updates.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680"/>
        <w:gridCol w:w="2200"/>
      </w:tblGrid>
      <w:tr>
        <w:tc>
          <w:tcPr>
            <w:tcW w:type="dxa" w:w="48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Step</w:t>
            </w:r>
          </w:p>
        </w:tc>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Actor</w:t>
            </w:r>
          </w:p>
        </w:tc>
        <w:tc>
          <w:tcPr>
            <w:tcW w:type="dxa" w:w="468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Action</w:t>
            </w:r>
          </w:p>
        </w:tc>
        <w:tc>
          <w:tcPr>
            <w:tcW w:type="dxa" w:w="22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Duration</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Ops / Ariel Goldman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Log into CMS Admin UI. Navigate to the relevant page, contract, or routing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&lt; 5 minutes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Operator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Edit the target field(s) directly. Rich-text and image upload supported where applicable.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Minutes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Operator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Save as Draft. Preview in staging environment to validate the change looks correct before it goes live.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&lt; 30 minutes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Operator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Click Publish. CMS Service state machine updates status to PUBLISHED, records audit log entry.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&lt; 1 minute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Service (automated)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CDN cache purge triggered automatically on publish. Updated content served at edge within 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Automated</w:t>
            </w:r>
          </w:p>
        </w:tc>
      </w:tr>
      <w:tr>
        <w:tc>
          <w:tcPr>
            <w:tcW w:type="dxa" w:w="4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Total</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End-to-end</w:t>
            </w:r>
          </w:p>
        </w:tc>
        <w:tc>
          <w:tcPr>
            <w:tcW w:type="dxa" w:w="46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Business need to live content change</w:t>
            </w:r>
          </w:p>
        </w:tc>
        <w:tc>
          <w:tcPr>
            <w:tcW w:type="dxa" w:w="22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&lt; 4 hours (target)</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1.4  CMS Operator Personas &amp; Access Model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Persona</w:t>
            </w:r>
          </w:p>
        </w:tc>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CMS Role</w:t>
            </w:r>
          </w:p>
        </w:tc>
        <w:tc>
          <w:tcPr>
            <w:tcW w:type="dxa" w:w="53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Scope of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Ariel Goldman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Full access: page content, contracts, routing config, error states, audit log, user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Josh Bernstein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Full access: all CMS entities. Primary day-to-day operator for contract and segment page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Marketing / Content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Editor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Page content editing only. No access to routing config, error states, or user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Jerel Smith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Full access for prototyping copy changes, validating segment pages, and configuring new contracts before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Brendan Bagley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Admin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Full access with focus on routing config, portal parameter integration settings, and CMS data model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Shia Bernstein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Admin (read-only config)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View-only access to routing rules and portal parameter mappings for architecture review and debugging.</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1.5  What Changes vs. What Stays the Same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40"/>
        <w:gridCol w:w="5160"/>
      </w:tblGrid>
      <w:tr>
        <w:tc>
          <w:tcPr>
            <w:tcW w:type="dxa" w:w="3960"/>
            <w:gridSpan w:val="1"/>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Current State (Hard-coded)</w:t>
            </w:r>
          </w:p>
        </w:tc>
        <w:tc>
          <w:tcPr>
            <w:tcW w:type="dxa" w:w="240"/>
            <w:gridSpan w:val="1"/>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w:t>
            </w:r>
          </w:p>
        </w:tc>
        <w:tc>
          <w:tcPr>
            <w:tcW w:type="dxa" w:w="51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Target State (CMS-driven)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Content change → JIRA ticket → dev → deploy</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Admin UI → Draft → Publish → Live in &lt; 4 hours</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No preview before going live</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Draft mode + staging environment preview before any publish</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No audit trail</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Every field change logged: entity, field, old value, new value, user, timestamp</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Contract additions take months</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New cooperative contract entry: minutes in Contract Entity Manager</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State routing requires code change</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State → portal mapping managed via data-driven routing config table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SEO metadata in templates</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SEO fields editable per page in CMS with validation</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No role-based access</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Admin (full) and Editor (content-only) roles in Phase 1</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BDBTools not self-service for operators</w:t>
            </w:r>
          </w:p>
        </w:tc>
        <w:tc>
          <w:tcPr>
            <w:tcW w:type="dxa" w:w="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t>
            </w:r>
          </w:p>
        </w:tc>
        <w:tc>
          <w:tcPr>
            <w:tcW w:type="dxa" w:w="516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BDBTools remains as-is (Phase 1); CMS wraps content layer above it</w:t>
            </w:r>
          </w:p>
        </w:tc>
      </w:tr>
    </w:tbl>
    <w:p>
      <w:pPr>
        <w:spacing w:after="0" w:before="80"/>
      </w:pPr>
    </w:p>
    <w:p>
      <w:r>
        <w:br/>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9A59" w:val="clear"/>
            <w:tcMar>
              <w:top w:type="dxa" w:w="200"/>
              <w:left w:type="dxa" w:w="240"/>
              <w:bottom w:type="dxa" w:w="200"/>
              <w:right w:type="dxa" w:w="240"/>
            </w:tcMar>
          </w:tcPr>
          <w:p>
            <w:pPr>
              <w:spacing w:after="20" w:before="0"/>
            </w:pPr>
            <w:r>
              <w:rPr>
                <w:rFonts w:ascii="Montserrat" w:cs="Montserrat" w:eastAsia="Montserrat" w:hAnsi="Montserrat"/>
                <w:b/>
                <w:bCs/>
                <w:color w:val="D8F0E0"/>
                <w:sz w:val="48"/>
                <w:szCs w:val="48"/>
              </w:rPr>
              <w:t xml:space="preserve">02</w:t>
            </w:r>
          </w:p>
          <w:p>
            <w:pPr>
              <w:spacing w:after="20" w:before="0"/>
            </w:pPr>
            <w:r>
              <w:rPr>
                <w:rFonts w:ascii="Montserrat" w:cs="Montserrat" w:eastAsia="Montserrat" w:hAnsi="Montserrat"/>
                <w:b/>
                <w:bCs/>
                <w:color w:val="FFFFFF"/>
                <w:sz w:val="36"/>
                <w:szCs w:val="36"/>
              </w:rPr>
              <w:t xml:space="preserve">Customer Experience</w:t>
            </w:r>
          </w:p>
          <w:p>
            <w:pPr>
              <w:spacing w:after="0" w:before="0"/>
            </w:pPr>
            <w:r>
              <w:rPr>
                <w:rFonts w:ascii="Open Sans" w:cs="Open Sans" w:eastAsia="Open Sans" w:hAnsi="Open Sans"/>
                <w:color w:val="D8F0E0"/>
                <w:sz w:val="20"/>
                <w:szCs w:val="20"/>
              </w:rPr>
              <w:t xml:space="preserve">How buyers interact with the B2B Hub in the target state</w:t>
            </w:r>
          </w:p>
        </w:tc>
      </w:tr>
    </w:tbl>
    <w:p>
      <w:pPr>
        <w:spacing w:after="0" w:before="160"/>
      </w:pPr>
    </w:p>
    <w:p>
      <w:pPr>
        <w:pStyle w:val="Heading2"/>
        <w:spacing w:after="80" w:before="280"/>
      </w:pPr>
      <w:r>
        <w:rPr>
          <w:rFonts w:ascii="Montserrat" w:cs="Montserrat" w:eastAsia="Montserrat" w:hAnsi="Montserrat"/>
          <w:b/>
          <w:bCs/>
          <w:color w:val="333333"/>
          <w:sz w:val="24"/>
          <w:szCs w:val="24"/>
        </w:rPr>
        <w:t xml:space="preserve">2.1  The Redesigned Hub Entry</w:t>
      </w:r>
    </w:p>
    <w:p>
      <w:pPr>
        <w:spacing w:after="80" w:before="80"/>
      </w:pPr>
      <w:r>
        <w:rPr>
          <w:rFonts w:ascii="Open Sans" w:cs="Open Sans" w:eastAsia="Open Sans" w:hAnsi="Open Sans"/>
          <w:color w:val="333333"/>
          <w:sz w:val="20"/>
          <w:szCs w:val="20"/>
        </w:rPr>
        <w:t xml:space="preserve">The most impactful change for customers is the introduction of a sign-up path accessible directly from hub entry — eliminating the requirement to navigate the segment funnel before initiating account creation. The specific UX pattern (segment-first with improved funnel vs. qualification-first with upfront contact capture) is to be validated by user research before design lock in Q1 2026.</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3F9A59" w:val="clear"/>
            <w:tcMar>
              <w:top w:type="dxa" w:w="80"/>
              <w:left w:type="dxa" w:w="80"/>
              <w:bottom w:type="dxa" w:w="80"/>
              <w:right w:type="dxa" w:w="80"/>
            </w:tcMar>
          </w:tcPr>
          <w:p>
            <w:pPr>
              <w:spacing w:after="0" w:before="0"/>
            </w:pPr>
            <w:r>
              <w:rPr>
                <w:rFonts w:ascii="Open Sans" w:cs="Open Sans" w:eastAsia="Open Sans" w:hAnsi="Open Sans"/>
                <w:b/>
                <w:bCs/>
                <w:color w:val="FFFFFF"/>
                <w:sz w:val="16"/>
                <w:szCs w:val="16"/>
              </w:rPr>
              <w:t xml:space="preserve">✓ TARGET OUTCOME</w:t>
            </w:r>
          </w:p>
        </w:tc>
        <w:tc>
          <w:tcPr>
            <w:tcW w:type="dxa" w:w="9000"/>
            <w:tcBorders>
              <w:top w:val="none" w:color="FFFFFF" w:sz="0"/>
              <w:left w:val="single" w:color="3F9A59" w:sz="6"/>
              <w:bottom w:val="none" w:color="FFFFFF" w:sz="0"/>
              <w:right w:val="none" w:color="FFFFFF" w:sz="0"/>
            </w:tcBorders>
            <w:shd w:fill="F5FBF7" w:val="clear"/>
            <w:tcMar>
              <w:top w:type="dxa" w:w="80"/>
              <w:left w:type="dxa" w:w="160"/>
              <w:bottom w:type="dxa" w:w="80"/>
              <w:right w:type="dxa" w:w="120"/>
            </w:tcMar>
          </w:tcPr>
          <w:p>
            <w:pPr>
              <w:spacing w:after="20" w:before="20"/>
            </w:pPr>
            <w:r>
              <w:rPr>
                <w:rFonts w:ascii="Open Sans" w:cs="Open Sans" w:eastAsia="Open Sans" w:hAnsi="Open Sans"/>
                <w:color w:val="333333"/>
                <w:sz w:val="18"/>
                <w:szCs w:val="18"/>
              </w:rPr>
              <w:t xml:space="preserve">Sign-up conversion: +15% vs. baseline (hub visitors who complete B2B account creation).</w:t>
            </w:r>
          </w:p>
          <w:p>
            <w:pPr>
              <w:spacing w:after="20" w:before="20"/>
            </w:pPr>
            <w:r>
              <w:rPr>
                <w:rFonts w:ascii="Open Sans" w:cs="Open Sans" w:eastAsia="Open Sans" w:hAnsi="Open Sans"/>
                <w:color w:val="333333"/>
                <w:sz w:val="18"/>
                <w:szCs w:val="18"/>
              </w:rPr>
              <w:t xml:space="preserve">D&amp;B support volume: −30% vs. baseline (support contacts triggered by verification failures).</w:t>
            </w:r>
          </w:p>
          <w:p>
            <w:pPr>
              <w:spacing w:after="20" w:before="20"/>
            </w:pPr>
            <w:r>
              <w:rPr>
                <w:rFonts w:ascii="Open Sans" w:cs="Open Sans" w:eastAsia="Open Sans" w:hAnsi="Open Sans"/>
                <w:color w:val="333333"/>
                <w:sz w:val="18"/>
                <w:szCs w:val="18"/>
              </w:rPr>
              <w:t xml:space="preserve">Baseline conversion rate to be established from Splunk/GA4 data before Phase 1 launch.</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2.2  Target Customer Journey — Step by Step</w:t>
      </w:r>
    </w:p>
    <w:p>
      <w:pP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3F9A59" w:val="clear"/>
            <w:tcMar>
              <w:top w:type="dxa" w:w="120"/>
              <w:left w:type="dxa" w:w="120"/>
              <w:bottom w:type="dxa" w:w="120"/>
              <w:right w:type="dxa" w:w="120"/>
            </w:tcMar>
            <w:vAlign w:val="center"/>
          </w:tcPr>
          <w:p>
            <w:pPr>
              <w:spacing w:after="0" w:before="0"/>
            </w:pPr>
            <w:r>
              <w:rPr>
                <w:rFonts w:ascii="Open Sans" w:cs="Open Sans" w:eastAsia="Open Sans" w:hAnsi="Open Sans"/>
                <w:b/>
                <w:bCs/>
                <w:color w:val="FFFFFF"/>
                <w:sz w:val="16"/>
                <w:szCs w:val="16"/>
              </w:rPr>
              <w:t xml:space="preserve">Step 1</w:t>
            </w:r>
          </w:p>
          <w:p>
            <w:pPr>
              <w:spacing w:after="0" w:before="0"/>
            </w:pPr>
            <w:r>
              <w:rPr>
                <w:rFonts w:ascii="Montserrat" w:cs="Montserrat" w:eastAsia="Montserrat" w:hAnsi="Montserrat"/>
                <w:b/>
                <w:bCs/>
                <w:color w:val="FFFFFF"/>
                <w:sz w:val="20"/>
                <w:szCs w:val="20"/>
              </w:rPr>
              <w:t xml:space="preserve">Hub Landing</w:t>
            </w:r>
          </w:p>
        </w:tc>
        <w:tc>
          <w:tcPr>
            <w:tcW w:type="dxa" w:w="7920"/>
            <w:tcBorders>
              <w:top w:val="none" w:color="FFFFFF" w:sz="0"/>
              <w:left w:val="single" w:color="3F9A59" w:sz="4"/>
              <w:bottom w:val="none" w:color="FFFFFF" w:sz="0"/>
              <w:right w:val="none" w:color="FFFFFF" w:sz="0"/>
            </w:tcBorders>
            <w:shd w:fill="F5FBF7" w:val="clear"/>
            <w:tcMar>
              <w:top w:type="dxa" w:w="80"/>
              <w:left w:type="dxa" w:w="160"/>
              <w:bottom w:type="dxa" w:w="80"/>
              <w:right w:type="dxa" w:w="120"/>
            </w:tcMar>
          </w:tcPr>
          <w:p>
            <w:pPr>
              <w:spacing w:after="0" w:before="0"/>
            </w:pPr>
            <w:r>
              <w:rPr>
                <w:rFonts w:ascii="Open Sans" w:cs="Open Sans" w:eastAsia="Open Sans" w:hAnsi="Open Sans"/>
                <w:color w:val="333333"/>
                <w:sz w:val="18"/>
                <w:szCs w:val="18"/>
              </w:rPr>
              <w:t xml:space="preserve">User arrives at bhphotovideo.com/find/b2b/. Content is served from the CMS API — editable by the B2B ops team without a developer. A quick sign-up entry point is accessible directly on hub entry. Returning customers are recognized. The segment layout reflects live CMS content.</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3F9A59" w:val="clear"/>
            <w:tcMar>
              <w:top w:type="dxa" w:w="120"/>
              <w:left w:type="dxa" w:w="120"/>
              <w:bottom w:type="dxa" w:w="120"/>
              <w:right w:type="dxa" w:w="120"/>
            </w:tcMar>
            <w:vAlign w:val="center"/>
          </w:tcPr>
          <w:p>
            <w:pPr>
              <w:spacing w:after="0" w:before="0"/>
            </w:pPr>
            <w:r>
              <w:rPr>
                <w:rFonts w:ascii="Open Sans" w:cs="Open Sans" w:eastAsia="Open Sans" w:hAnsi="Open Sans"/>
                <w:b/>
                <w:bCs/>
                <w:color w:val="FFFFFF"/>
                <w:sz w:val="16"/>
                <w:szCs w:val="16"/>
              </w:rPr>
              <w:t xml:space="preserve">Step 2A</w:t>
            </w:r>
          </w:p>
          <w:p>
            <w:pPr>
              <w:spacing w:after="0" w:before="0"/>
            </w:pPr>
            <w:r>
              <w:rPr>
                <w:rFonts w:ascii="Montserrat" w:cs="Montserrat" w:eastAsia="Montserrat" w:hAnsi="Montserrat"/>
                <w:b/>
                <w:bCs/>
                <w:color w:val="FFFFFF"/>
                <w:sz w:val="20"/>
                <w:szCs w:val="20"/>
              </w:rPr>
              <w:t xml:space="preserve">Sign-Up Entry (Qualification-First)</w:t>
            </w:r>
          </w:p>
        </w:tc>
        <w:tc>
          <w:tcPr>
            <w:tcW w:type="dxa" w:w="7920"/>
            <w:tcBorders>
              <w:top w:val="none" w:color="FFFFFF" w:sz="0"/>
              <w:left w:val="single" w:color="3F9A59" w:sz="4"/>
              <w:bottom w:val="none" w:color="FFFFFF" w:sz="0"/>
              <w:right w:val="none" w:color="FFFFFF" w:sz="0"/>
            </w:tcBorders>
            <w:shd w:fill="F5FBF7" w:val="clear"/>
            <w:tcMar>
              <w:top w:type="dxa" w:w="80"/>
              <w:left w:type="dxa" w:w="160"/>
              <w:bottom w:type="dxa" w:w="80"/>
              <w:right w:type="dxa" w:w="120"/>
            </w:tcMar>
          </w:tcPr>
          <w:p>
            <w:pPr>
              <w:spacing w:after="0" w:before="0"/>
            </w:pPr>
            <w:r>
              <w:rPr>
                <w:rFonts w:ascii="Open Sans" w:cs="Open Sans" w:eastAsia="Open Sans" w:hAnsi="Open Sans"/>
                <w:color w:val="333333"/>
                <w:sz w:val="18"/>
                <w:szCs w:val="18"/>
              </w:rPr>
              <w:t xml:space="preserve">Option A — Research-validated path: B&amp;H captures org type, state, and contact information upfront before contracts are revealed. The system qualifies the customer and surfaces only the contracts and portals relevant to them. This reduces browse abandonment and increases lead capture earlier in the funnel.</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07AB8" w:val="clear"/>
            <w:tcMar>
              <w:top w:type="dxa" w:w="120"/>
              <w:left w:type="dxa" w:w="120"/>
              <w:bottom w:type="dxa" w:w="120"/>
              <w:right w:type="dxa" w:w="120"/>
            </w:tcMar>
            <w:vAlign w:val="center"/>
          </w:tcPr>
          <w:p>
            <w:pPr>
              <w:spacing w:after="0" w:before="0"/>
            </w:pPr>
            <w:r>
              <w:rPr>
                <w:rFonts w:ascii="Open Sans" w:cs="Open Sans" w:eastAsia="Open Sans" w:hAnsi="Open Sans"/>
                <w:b/>
                <w:bCs/>
                <w:color w:val="FFFFFF"/>
                <w:sz w:val="16"/>
                <w:szCs w:val="16"/>
              </w:rPr>
              <w:t xml:space="preserve">Step 2B</w:t>
            </w:r>
          </w:p>
          <w:p>
            <w:pPr>
              <w:spacing w:after="0" w:before="0"/>
            </w:pPr>
            <w:r>
              <w:rPr>
                <w:rFonts w:ascii="Montserrat" w:cs="Montserrat" w:eastAsia="Montserrat" w:hAnsi="Montserrat"/>
                <w:b/>
                <w:bCs/>
                <w:color w:val="FFFFFF"/>
                <w:sz w:val="20"/>
                <w:szCs w:val="20"/>
              </w:rPr>
              <w:t xml:space="preserve">Sign-Up Entry (Segment-First)</w:t>
            </w:r>
          </w:p>
        </w:tc>
        <w:tc>
          <w:tcPr>
            <w:tcW w:type="dxa" w:w="7920"/>
            <w:tcBorders>
              <w:top w:val="none" w:color="FFFFFF" w:sz="0"/>
              <w:left w:val="single" w:color="007AB8" w:sz="4"/>
              <w:bottom w:val="none" w:color="FFFFFF" w:sz="0"/>
              <w:right w:val="none" w:color="FFFFFF" w:sz="0"/>
            </w:tcBorders>
            <w:shd w:fill="F5FBF7" w:val="clear"/>
            <w:tcMar>
              <w:top w:type="dxa" w:w="80"/>
              <w:left w:type="dxa" w:w="160"/>
              <w:bottom w:type="dxa" w:w="80"/>
              <w:right w:type="dxa" w:w="120"/>
            </w:tcMar>
          </w:tcPr>
          <w:p>
            <w:pPr>
              <w:spacing w:after="0" w:before="0"/>
            </w:pPr>
            <w:r>
              <w:rPr>
                <w:rFonts w:ascii="Open Sans" w:cs="Open Sans" w:eastAsia="Open Sans" w:hAnsi="Open Sans"/>
                <w:color w:val="333333"/>
                <w:sz w:val="18"/>
                <w:szCs w:val="18"/>
              </w:rPr>
              <w:t xml:space="preserve">Option B — Improved segment funnel: User selects a segment as today, but sign-up is accessible much earlier in the flow and the segment pages are CMS-driven (up-to-date content, no stale copy). Research will determine which pattern to proceed with before design lock.</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07AB8" w:val="clear"/>
            <w:tcMar>
              <w:top w:type="dxa" w:w="120"/>
              <w:left w:type="dxa" w:w="120"/>
              <w:bottom w:type="dxa" w:w="120"/>
              <w:right w:type="dxa" w:w="120"/>
            </w:tcMar>
            <w:vAlign w:val="center"/>
          </w:tcPr>
          <w:p>
            <w:pPr>
              <w:spacing w:after="0" w:before="0"/>
            </w:pPr>
            <w:r>
              <w:rPr>
                <w:rFonts w:ascii="Open Sans" w:cs="Open Sans" w:eastAsia="Open Sans" w:hAnsi="Open Sans"/>
                <w:b/>
                <w:bCs/>
                <w:color w:val="FFFFFF"/>
                <w:sz w:val="16"/>
                <w:szCs w:val="16"/>
              </w:rPr>
              <w:t xml:space="preserve">Step 3</w:t>
            </w:r>
          </w:p>
          <w:p>
            <w:pPr>
              <w:spacing w:after="0" w:before="0"/>
            </w:pPr>
            <w:r>
              <w:rPr>
                <w:rFonts w:ascii="Montserrat" w:cs="Montserrat" w:eastAsia="Montserrat" w:hAnsi="Montserrat"/>
                <w:b/>
                <w:bCs/>
                <w:color w:val="FFFFFF"/>
                <w:sz w:val="20"/>
                <w:szCs w:val="20"/>
              </w:rPr>
              <w:t xml:space="preserve">Qualification &amp; Intake</w:t>
            </w:r>
          </w:p>
        </w:tc>
        <w:tc>
          <w:tcPr>
            <w:tcW w:type="dxa" w:w="7920"/>
            <w:tcBorders>
              <w:top w:val="none" w:color="FFFFFF" w:sz="0"/>
              <w:left w:val="single" w:color="007AB8" w:sz="4"/>
              <w:bottom w:val="none" w:color="FFFFFF" w:sz="0"/>
              <w:right w:val="none" w:color="FFFFFF" w:sz="0"/>
            </w:tcBorders>
            <w:shd w:fill="F5FBF7" w:val="clear"/>
            <w:tcMar>
              <w:top w:type="dxa" w:w="80"/>
              <w:left w:type="dxa" w:w="160"/>
              <w:bottom w:type="dxa" w:w="80"/>
              <w:right w:type="dxa" w:w="120"/>
            </w:tcMar>
          </w:tcPr>
          <w:p>
            <w:pPr>
              <w:spacing w:after="0" w:before="0"/>
            </w:pPr>
            <w:r>
              <w:rPr>
                <w:rFonts w:ascii="Open Sans" w:cs="Open Sans" w:eastAsia="Open Sans" w:hAnsi="Open Sans"/>
                <w:color w:val="333333"/>
                <w:sz w:val="18"/>
                <w:szCs w:val="18"/>
              </w:rPr>
              <w:t xml:space="preserve">For Contracts and eProcurement: a structured forking intake form (new in Phase 1) pre-qualifies the customer, routes them to the correct contract or portal, and surfaces the right rep contact — replacing the current email-only dead end. Sign-up form fields: First Name, Last Name, Business Email, Business Name, Business Phone, Business Type (dropdown), State.</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3F9A59" w:val="clear"/>
            <w:tcMar>
              <w:top w:type="dxa" w:w="120"/>
              <w:left w:type="dxa" w:w="120"/>
              <w:bottom w:type="dxa" w:w="120"/>
              <w:right w:type="dxa" w:w="120"/>
            </w:tcMar>
            <w:vAlign w:val="center"/>
          </w:tcPr>
          <w:p>
            <w:pPr>
              <w:spacing w:after="0" w:before="0"/>
            </w:pPr>
            <w:r>
              <w:rPr>
                <w:rFonts w:ascii="Open Sans" w:cs="Open Sans" w:eastAsia="Open Sans" w:hAnsi="Open Sans"/>
                <w:b/>
                <w:bCs/>
                <w:color w:val="FFFFFF"/>
                <w:sz w:val="16"/>
                <w:szCs w:val="16"/>
              </w:rPr>
              <w:t xml:space="preserve">Step 4</w:t>
            </w:r>
          </w:p>
          <w:p>
            <w:pPr>
              <w:spacing w:after="0" w:before="0"/>
            </w:pPr>
            <w:r>
              <w:rPr>
                <w:rFonts w:ascii="Montserrat" w:cs="Montserrat" w:eastAsia="Montserrat" w:hAnsi="Montserrat"/>
                <w:b/>
                <w:bCs/>
                <w:color w:val="FFFFFF"/>
                <w:sz w:val="20"/>
                <w:szCs w:val="20"/>
              </w:rPr>
              <w:t xml:space="preserve">Verification</w:t>
            </w:r>
          </w:p>
        </w:tc>
        <w:tc>
          <w:tcPr>
            <w:tcW w:type="dxa" w:w="7920"/>
            <w:tcBorders>
              <w:top w:val="none" w:color="FFFFFF" w:sz="0"/>
              <w:left w:val="single" w:color="3F9A59" w:sz="4"/>
              <w:bottom w:val="none" w:color="FFFFFF" w:sz="0"/>
              <w:right w:val="none" w:color="FFFFFF" w:sz="0"/>
            </w:tcBorders>
            <w:shd w:fill="F5FBF7" w:val="clear"/>
            <w:tcMar>
              <w:top w:type="dxa" w:w="80"/>
              <w:left w:type="dxa" w:w="160"/>
              <w:bottom w:type="dxa" w:w="80"/>
              <w:right w:type="dxa" w:w="120"/>
            </w:tcMar>
          </w:tcPr>
          <w:p>
            <w:pPr>
              <w:spacing w:after="0" w:before="0"/>
            </w:pPr>
            <w:r>
              <w:rPr>
                <w:rFonts w:ascii="Open Sans" w:cs="Open Sans" w:eastAsia="Open Sans" w:hAnsi="Open Sans"/>
                <w:color w:val="333333"/>
                <w:sz w:val="18"/>
                <w:szCs w:val="18"/>
              </w:rPr>
              <w:t xml:space="preserve">Account approval routes through one of three paths based on segment and contract type. In the target state: each verification path has CMS-managed error messages with defined next-step CTAs. Domain whitelists are maintainable via CMS (Phase 2). The 'Request Manual Review' path has a structured submission — no more ambiguous failure state.</w:t>
            </w:r>
          </w:p>
        </w:tc>
      </w:tr>
    </w:tbl>
    <w:p>
      <w:pPr>
        <w:spacing w:after="0" w:before="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3F9A59" w:val="clear"/>
            <w:tcMar>
              <w:top w:type="dxa" w:w="120"/>
              <w:left w:type="dxa" w:w="120"/>
              <w:bottom w:type="dxa" w:w="120"/>
              <w:right w:type="dxa" w:w="120"/>
            </w:tcMar>
            <w:vAlign w:val="center"/>
          </w:tcPr>
          <w:p>
            <w:pPr>
              <w:spacing w:after="0" w:before="0"/>
            </w:pPr>
            <w:r>
              <w:rPr>
                <w:rFonts w:ascii="Open Sans" w:cs="Open Sans" w:eastAsia="Open Sans" w:hAnsi="Open Sans"/>
                <w:b/>
                <w:bCs/>
                <w:color w:val="FFFFFF"/>
                <w:sz w:val="16"/>
                <w:szCs w:val="16"/>
              </w:rPr>
              <w:t xml:space="preserve">Step 5</w:t>
            </w:r>
          </w:p>
          <w:p>
            <w:pPr>
              <w:spacing w:after="0" w:before="0"/>
            </w:pPr>
            <w:r>
              <w:rPr>
                <w:rFonts w:ascii="Montserrat" w:cs="Montserrat" w:eastAsia="Montserrat" w:hAnsi="Montserrat"/>
                <w:b/>
                <w:bCs/>
                <w:color w:val="FFFFFF"/>
                <w:sz w:val="20"/>
                <w:szCs w:val="20"/>
              </w:rPr>
              <w:t xml:space="preserve">Portal Access</w:t>
            </w:r>
          </w:p>
        </w:tc>
        <w:tc>
          <w:tcPr>
            <w:tcW w:type="dxa" w:w="7920"/>
            <w:tcBorders>
              <w:top w:val="none" w:color="FFFFFF" w:sz="0"/>
              <w:left w:val="single" w:color="3F9A59" w:sz="4"/>
              <w:bottom w:val="none" w:color="FFFFFF" w:sz="0"/>
              <w:right w:val="none" w:color="FFFFFF" w:sz="0"/>
            </w:tcBorders>
            <w:shd w:fill="F5FBF7" w:val="clear"/>
            <w:tcMar>
              <w:top w:type="dxa" w:w="80"/>
              <w:left w:type="dxa" w:w="160"/>
              <w:bottom w:type="dxa" w:w="80"/>
              <w:right w:type="dxa" w:w="120"/>
            </w:tcMar>
          </w:tcPr>
          <w:p>
            <w:pPr>
              <w:spacing w:after="0" w:before="0"/>
            </w:pPr>
            <w:r>
              <w:rPr>
                <w:rFonts w:ascii="Open Sans" w:cs="Open Sans" w:eastAsia="Open Sans" w:hAnsi="Open Sans"/>
                <w:color w:val="333333"/>
                <w:sz w:val="18"/>
                <w:szCs w:val="18"/>
              </w:rPr>
              <w:t xml:space="preserve">User account linked to a portal ID resolved from the CMS routing config table (not hard-coded). Portal loads pricing rules and parameters from BDBTools as today. Dead category pages tracked as a Phase 2 item.</w:t>
            </w:r>
          </w:p>
        </w:tc>
      </w:tr>
    </w:tbl>
    <w:p>
      <w:pPr>
        <w:spacing w:after="0" w:before="60"/>
      </w:pPr>
    </w:p>
    <w:p>
      <w:pPr>
        <w:spacing w:after="0" w:before="80"/>
      </w:pPr>
    </w:p>
    <w:p>
      <w:pPr>
        <w:pStyle w:val="Heading2"/>
        <w:spacing w:after="80" w:before="280"/>
      </w:pPr>
      <w:r>
        <w:rPr>
          <w:rFonts w:ascii="Montserrat" w:cs="Montserrat" w:eastAsia="Montserrat" w:hAnsi="Montserrat"/>
          <w:b/>
          <w:bCs/>
          <w:color w:val="333333"/>
          <w:sz w:val="24"/>
          <w:szCs w:val="24"/>
        </w:rPr>
        <w:t xml:space="preserve">2.3  Sign-Up Flow — Registration Form Fields</w:t>
      </w:r>
    </w:p>
    <w:p>
      <w:pPr>
        <w:spacing w:after="80" w:before="80"/>
      </w:pPr>
      <w:r>
        <w:rPr>
          <w:rFonts w:ascii="Open Sans" w:cs="Open Sans" w:eastAsia="Open Sans" w:hAnsi="Open Sans"/>
          <w:color w:val="333333"/>
          <w:sz w:val="20"/>
          <w:szCs w:val="20"/>
        </w:rPr>
        <w:t xml:space="preserve">The following fields are confirmed for the Phase 1 registration form, validated with Ariel Goldman during discovery: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Field</w:t>
            </w:r>
          </w:p>
        </w:tc>
        <w:tc>
          <w:tcPr>
            <w:tcW w:type="dxa" w:w="24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Type</w:t>
            </w:r>
          </w:p>
        </w:tc>
        <w:tc>
          <w:tcPr>
            <w:tcW w:type="dxa" w:w="45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First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Last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Business 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Email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 Triggers domain whitelist check and D&amp;B lookup.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Business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 Used in D&amp;B business name 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Business Phone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Phone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Business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Dropdown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 Options tied to segment routing logic. Drives verification path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Dropdown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Required. Used in state → portal routing config lookup.</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2.4  Verification Path Improvements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Path</w:t>
            </w:r>
          </w:p>
        </w:tc>
        <w:tc>
          <w:tcPr>
            <w:tcW w:type="dxa" w:w="3160"/>
            <w:gridSpan w:val="1"/>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Current State</w:t>
            </w:r>
          </w:p>
        </w:tc>
        <w:tc>
          <w:tcPr>
            <w:tcW w:type="dxa" w:w="4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Target State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D&amp;B Check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Pass/fail only. Error codes (NO_MATCH, TIMEOUT, DUNS_INACTIVE) shown with no context or next step. Highest-volume support trigger.</w:t>
            </w:r>
          </w:p>
        </w:tc>
        <w:tc>
          <w:tcPr>
            <w:tcW w:type="dxa" w:w="40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06F3D"/>
                <w:sz w:val="18"/>
                <w:szCs w:val="18"/>
              </w:rPr>
              <w:t xml:space="preserve">CMS-managed error messages per error code. Each failure state surfaces a defined next-step CTA. 'Request Manual Review' option for D&amp;B failures. Target: −30% support contact volume.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Domain Whitelist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Domain lists cannot be updated without developer access. Static and increasingly stale.</w:t>
            </w:r>
          </w:p>
        </w:tc>
        <w:tc>
          <w:tcPr>
            <w:tcW w:type="dxa" w:w="40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06F3D"/>
                <w:sz w:val="18"/>
                <w:szCs w:val="18"/>
              </w:rPr>
              <w:t xml:space="preserve">Phase 1: Error messages improved for domain mismatch failures. Phase 2: Domain whitelist management self-service in CMS Admin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Manual Review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No structured handoff. No customer notification. Post-rejection experience undefined.</w:t>
            </w:r>
          </w:p>
        </w:tc>
        <w:tc>
          <w:tcPr>
            <w:tcW w:type="dxa" w:w="40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06F3D"/>
                <w:sz w:val="18"/>
                <w:szCs w:val="18"/>
              </w:rPr>
              <w:t xml:space="preserve">Structured 'Request Manual Review' CTA on failure. Submission routed to B2B ops queue. Customer receives confirmation messaging. Rep contacts with defined SLA.</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2.5  New Customer Touchpoints in Phase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New Touchpoint</w:t>
            </w:r>
          </w:p>
        </w:tc>
        <w:tc>
          <w:tcPr>
            <w:tcW w:type="dxa" w:w="16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Type</w:t>
            </w:r>
          </w:p>
        </w:tc>
        <w:tc>
          <w:tcPr>
            <w:tcW w:type="dxa" w:w="49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Contracts Intake Form</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New — P1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Structured forking intake form on the Contracts page. Pre-qualifies the customer, distinguishes new contract inquiries from existing contract holders, and routes to the correct rep or portal. Replaces email-only dead 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eProcurement Intake Form</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New — P1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Structured intake form on the eProcurement page. Corrects customers who have landed in the wrong place. Gathers eProcurement platform context (SAP/Ariba, Coupa, etc.) upfront.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Manual Review CTA</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New — 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'Request Manual Review' button on all D&amp;B and domain mismatch failure states. Submits a structured request to the B2B ops queue instead of leaving the customer with no path forward.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SAP/Ariba Correction</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Quick Win — 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eProcurement page updated to correctly reference SAP Ariba as a single platform. Standalone dev ticket — does not require CMS Light to be live.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Studio Hub GA4 Tagging</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Quick Win — P0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Studio Hub fully tagged in GA4. Traffic, engagement, and funnel data available for the first time. Standalone ticket — independent of hub redesign.</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2.6  Persona Improvements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Persona</w:t>
            </w:r>
          </w:p>
        </w:tc>
        <w:tc>
          <w:tcPr>
            <w:tcW w:type="dxa" w:w="3360"/>
            <w:gridSpan w:val="1"/>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Current Pain</w:t>
            </w:r>
          </w:p>
        </w:tc>
        <w:tc>
          <w:tcPr>
            <w:tcW w:type="dxa" w:w="36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Target State Improvement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Procurement Officer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Must navigate full funnel before reaching contract info. Email-only Contracts page.</w:t>
            </w:r>
          </w:p>
        </w:tc>
        <w:tc>
          <w:tcPr>
            <w:tcW w:type="dxa" w:w="36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Structured Contracts intake form. Qualification-first option surfaces relevant contracts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IT Director / Tech Buyer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Outdated SAP/Ariba listing. No eProcurement intake form.</w:t>
            </w:r>
          </w:p>
        </w:tc>
        <w:tc>
          <w:tcPr>
            <w:tcW w:type="dxa" w:w="36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SAP Ariba corrected (quick win). eProcurement intake form with platform context gathering.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Small Business Owner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Complex funnel before sign-up. D&amp;B failures with no next step.</w:t>
            </w:r>
          </w:p>
        </w:tc>
        <w:tc>
          <w:tcPr>
            <w:tcW w:type="dxa" w:w="36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Sign-up accessible on hub entry. CMS-managed error messages with clear next steps and Manual Review CTA.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Faith / Nonprofit 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Long path to relevant information. Omnia eligibility not surfaced in Nonprofit segment.</w:t>
            </w:r>
          </w:p>
        </w:tc>
        <w:tc>
          <w:tcPr>
            <w:tcW w:type="dxa" w:w="36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Resolved with routing config update once Omnia/Nonprofit edge case is formally closed. No dev ticket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International Buyer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Export info requires specific segment navigation.</w:t>
            </w:r>
          </w:p>
        </w:tc>
        <w:tc>
          <w:tcPr>
            <w:tcW w:type="dxa" w:w="3600"/>
            <w:tcBorders>
              <w:top w:val="single" w:color="CCCCCC" w:sz="1"/>
              <w:left w:val="single" w:color="CCCCCC" w:sz="1"/>
              <w:bottom w:val="single" w:color="CCCCCC" w:sz="1"/>
              <w:right w:val="single" w:color="CCCCCC" w:sz="1"/>
            </w:tcBorders>
            <w:shd w:fill="F5FBF7"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CMS-driven International segment page — updatable by ops team to keep export info current.</w:t>
            </w:r>
          </w:p>
        </w:tc>
      </w:tr>
    </w:tbl>
    <w:p>
      <w:pPr>
        <w:spacing w:after="0" w:before="80"/>
      </w:pPr>
    </w:p>
    <w:p>
      <w:r>
        <w:br/>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9A59" w:val="clear"/>
            <w:tcMar>
              <w:top w:type="dxa" w:w="200"/>
              <w:left w:type="dxa" w:w="240"/>
              <w:bottom w:type="dxa" w:w="200"/>
              <w:right w:type="dxa" w:w="240"/>
            </w:tcMar>
          </w:tcPr>
          <w:p>
            <w:pPr>
              <w:spacing w:after="20" w:before="0"/>
            </w:pPr>
            <w:r>
              <w:rPr>
                <w:rFonts w:ascii="Montserrat" w:cs="Montserrat" w:eastAsia="Montserrat" w:hAnsi="Montserrat"/>
                <w:b/>
                <w:bCs/>
                <w:color w:val="D8F0E0"/>
                <w:sz w:val="48"/>
                <w:szCs w:val="48"/>
              </w:rPr>
              <w:t xml:space="preserve">03</w:t>
            </w:r>
          </w:p>
          <w:p>
            <w:pPr>
              <w:spacing w:after="20" w:before="0"/>
            </w:pPr>
            <w:r>
              <w:rPr>
                <w:rFonts w:ascii="Montserrat" w:cs="Montserrat" w:eastAsia="Montserrat" w:hAnsi="Montserrat"/>
                <w:b/>
                <w:bCs/>
                <w:color w:val="FFFFFF"/>
                <w:sz w:val="36"/>
                <w:szCs w:val="36"/>
              </w:rPr>
              <w:t xml:space="preserve">Technical Architecture</w:t>
            </w:r>
          </w:p>
          <w:p>
            <w:pPr>
              <w:spacing w:after="0" w:before="0"/>
            </w:pPr>
            <w:r>
              <w:rPr>
                <w:rFonts w:ascii="Open Sans" w:cs="Open Sans" w:eastAsia="Open Sans" w:hAnsi="Open Sans"/>
                <w:color w:val="D8F0E0"/>
                <w:sz w:val="20"/>
                <w:szCs w:val="20"/>
              </w:rPr>
              <w:t xml:space="preserve">System design in the target state — Phase 1</w:t>
            </w:r>
          </w:p>
        </w:tc>
      </w:tr>
    </w:tbl>
    <w:p>
      <w:pPr>
        <w:spacing w:after="0" w:before="160"/>
      </w:pPr>
    </w:p>
    <w:p>
      <w:pPr>
        <w:pStyle w:val="Heading2"/>
        <w:spacing w:after="80" w:before="280"/>
      </w:pPr>
      <w:r>
        <w:rPr>
          <w:rFonts w:ascii="Montserrat" w:cs="Montserrat" w:eastAsia="Montserrat" w:hAnsi="Montserrat"/>
          <w:b/>
          <w:bCs/>
          <w:color w:val="333333"/>
          <w:sz w:val="24"/>
          <w:szCs w:val="24"/>
        </w:rPr>
        <w:t xml:space="preserve">3.1  Architecture Principles</w:t>
      </w:r>
    </w:p>
    <w:p>
      <w:pPr>
        <w:spacing w:after="80" w:before="80"/>
      </w:pPr>
      <w:r>
        <w:rPr>
          <w:rFonts w:ascii="Open Sans" w:cs="Open Sans" w:eastAsia="Open Sans" w:hAnsi="Open Sans"/>
          <w:color w:val="333333"/>
          <w:sz w:val="20"/>
          <w:szCs w:val="20"/>
        </w:rPr>
        <w:t xml:space="preserve">The target architecture is governed by three principles validated through stakeholder discovery and architecture sessions:</w:t>
      </w:r>
    </w:p>
    <w:p>
      <w:pPr>
        <w:spacing w:after="0" w:before="60"/>
      </w:pPr>
    </w:p>
    <w:p>
      <w:pPr>
        <w:pStyle w:val="ListParagraph"/>
        <w:numPr>
          <w:ilvl w:val="0"/>
          <w:numId w:val="2"/>
        </w:numPr>
        <w:spacing w:after="40" w:before="40"/>
      </w:pPr>
      <w:r>
        <w:rPr>
          <w:rFonts w:ascii="Open Sans" w:cs="Open Sans" w:eastAsia="Open Sans" w:hAnsi="Open Sans"/>
          <w:color w:val="333333"/>
          <w:sz w:val="20"/>
          <w:szCs w:val="20"/>
        </w:rPr>
        <w:t xml:space="preserve">Content separate from code: All hub content, routing rules, and contract entity data live in a structured database and are served via API — not compiled into deployment artifacts. The CMS DB is the source of truth for everything the CMS Admin UI manages.</w:t>
      </w:r>
    </w:p>
    <w:p>
      <w:pPr>
        <w:pStyle w:val="ListParagraph"/>
        <w:numPr>
          <w:ilvl w:val="0"/>
          <w:numId w:val="2"/>
        </w:numPr>
        <w:spacing w:after="40" w:before="40"/>
      </w:pPr>
      <w:r>
        <w:rPr>
          <w:rFonts w:ascii="Open Sans" w:cs="Open Sans" w:eastAsia="Open Sans" w:hAnsi="Open Sans"/>
          <w:color w:val="333333"/>
          <w:sz w:val="20"/>
          <w:szCs w:val="20"/>
        </w:rPr>
        <w:t xml:space="preserve">CMS wraps, not replaces, BDBTools: The existing BDBTools portal parameter system is preserved as-is in Phase 1. The CMS introduces a content and routing layer above it. Portal-level parameters (pricing rules, product exclusions, net terms) remain in BDBTools and are not touched by Phase 1.</w:t>
      </w:r>
    </w:p>
    <w:p>
      <w:pPr>
        <w:pStyle w:val="ListParagraph"/>
        <w:numPr>
          <w:ilvl w:val="0"/>
          <w:numId w:val="2"/>
        </w:numPr>
        <w:spacing w:after="40" w:before="40"/>
      </w:pPr>
      <w:r>
        <w:rPr>
          <w:rFonts w:ascii="Open Sans" w:cs="Open Sans" w:eastAsia="Open Sans" w:hAnsi="Open Sans"/>
          <w:color w:val="333333"/>
          <w:sz w:val="20"/>
          <w:szCs w:val="20"/>
        </w:rPr>
        <w:t xml:space="preserve">No third-party CMS: Based on B&amp;H's hesitancy around third-party apps, the CMS Light solution is a custom internal system rather than a SaaS CMS (Sanity, Contentful, Builder.io). This means more build investment upfront but full control, no vendor dependency, and no data residency concerns.</w:t>
      </w:r>
    </w:p>
    <w:p>
      <w:pPr>
        <w:spacing w:after="0" w:before="120"/>
      </w:pPr>
    </w:p>
    <w:p>
      <w:pPr>
        <w:pStyle w:val="Heading2"/>
        <w:spacing w:after="80" w:before="280"/>
      </w:pPr>
      <w:r>
        <w:rPr>
          <w:rFonts w:ascii="Montserrat" w:cs="Montserrat" w:eastAsia="Montserrat" w:hAnsi="Montserrat"/>
          <w:b/>
          <w:bCs/>
          <w:color w:val="333333"/>
          <w:sz w:val="24"/>
          <w:szCs w:val="24"/>
        </w:rPr>
        <w:t xml:space="preserve">3.2  Target Architecture — System Layers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Layer</w:t>
            </w:r>
          </w:p>
        </w:tc>
        <w:tc>
          <w:tcPr>
            <w:tcW w:type="dxa" w:w="69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CMS Admin UI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Internal web application. Operator-facing. Provides page content editor, contract entity manager, routing config editor, error state editor, draft/publish workflow, role-based access control, and audit log viewer.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CMS Service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Node.js or Spring Boot REST API. Owns content CRUD, draft/publish state machine, contract entity API, routing config API, SEO metadata API, audit logging, and cache invalidation → CDN purge on publish.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CMS 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Structured DB with five primary tables: cms_pages, cms_page_fields, cms_contracts, cms_routing_rules, cms_audit_log. Source of truth for all CMS-managed content and routing.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CDN / Edge Cache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Published content cached at edge for performance. CMS Service triggers automatic CDN purge on every publish event — no manual cache busting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666666"/>
                <w:sz w:val="18"/>
                <w:szCs w:val="18"/>
              </w:rPr>
              <w:t xml:space="preserve">BDBTools DB (read-only reference)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Portal parameters, portal IDs, pricing rules, eligibility. Phase 1: CMS reads routing rules that reference BDBTools portal IDs. No writes to BDBTools from CMS layer.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B2B Hub Website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Consumer-facing application. Renders published content from CMS API at request time. Portal routing driven by CMS routing config table. Portal parameter rules from BDBTools (existing, unchanged).</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3.3  CMS Data Model — Entity Overview</w:t>
      </w:r>
    </w:p>
    <w:p>
      <w:pPr>
        <w:spacing w:after="80" w:before="80"/>
      </w:pPr>
      <w:r>
        <w:rPr>
          <w:rFonts w:ascii="Open Sans" w:cs="Open Sans" w:eastAsia="Open Sans" w:hAnsi="Open Sans"/>
          <w:color w:val="333333"/>
          <w:sz w:val="20"/>
          <w:szCs w:val="20"/>
        </w:rPr>
        <w:t xml:space="preserve">Five primary entity types form the Phase 1 CMS data model. The BDBTools portal parameter model is preserved as-is.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Entity / Table</w:t>
            </w:r>
          </w:p>
        </w:tc>
        <w:tc>
          <w:tcPr>
            <w:tcW w:type="dxa" w:w="16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Primary Key</w:t>
            </w:r>
          </w:p>
        </w:tc>
        <w:tc>
          <w:tcPr>
            <w:tcW w:type="dxa" w:w="57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Key Fields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cms_pages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id (UUID)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page_key (slug), label, group (Core / Segment / Contract Pages), status (DRAFT | PUBLISHED | ARCHIVED), published_at, created_by, updated_by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cms_page_fields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id (UUID)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page_id (FK), field_key (e.g. hero_headline), field_type (TEXT | TEXTAREA | IMAGE | SEO_TEXT | CONTRACT_MULTISELECT), value_draft, value_live, label, updated_by, updated_at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cms_contracts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id (UUID)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contract_key (e.g. ei, omnia), name, blurb, logo_url (CDN), contract_number, page_key (FK), segments (JSON array), status (ACTIVE | INACTIVE | ARCHIVED), display_order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cms_routing_rules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id (UUID)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segment_key, state_code (nullable), contract_key (FK, nullable), portal_id (FK → BDBTools), priority (evaluation order), conditions (JSON), status (ACTIVE | INACTIVE)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cms_audit_log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id (UUID)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entity_type (PAGE | CONTRACT | ROUTING_RULE | ASSET | ERROR_STATE | WHITELIST), entity_id (FK), action (CREATE | UPDATE | PUBLISH | ARCHIVE | DELETE), field_key, value_before, value_after, user_id, timestamp</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3.4  Integration Points in Target State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Integration</w:t>
            </w:r>
          </w:p>
        </w:tc>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Direction</w:t>
            </w:r>
          </w:p>
        </w:tc>
        <w:tc>
          <w:tcPr>
            <w:tcW w:type="dxa" w:w="49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Target State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Admin UI → CMS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REST 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All operator actions (edit, publish, archive) go through CMS Service API. No direct DB access from Admin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Service → CMS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Read / Write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Source of truth for all CMS-managed content. Draft and live values stored per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Service → 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Purge trigger (write)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On every PUBLISH event, CMS Service triggers CDN cache invalidation for affected pages. No manual cache management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Service → BDBTools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Read (Phase 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Routing rules in CMS reference BDBTools portal IDs. Phase 1: read-only reference. Phase 2: surface portal parameters in CMS for admin editing.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Hub Website → CMS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Read (content fetch)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Hub fetches published content from CMS API at request time. CDN serves cached content for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Hub Website → D&amp;B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Read (verification)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D&amp;B integration unchanged in target state. Error state messaging and next-step CTAs improved via CMS Error State Editor.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BDBTools → Salesforce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Bi-directional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Unchanged in Phase 1. Integration depth must be documented before Phase 2 CMS-BDBTools deep integration begins.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Hub Website → GA4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Write (events)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Full GA4 tagging implemented including Studio Hub (quick win). Baseline conversion metrics established for PRD success measurement.</w:t>
            </w:r>
          </w:p>
        </w:tc>
      </w:tr>
    </w:tbl>
    <w:p>
      <w:pPr>
        <w:spacing w:after="0" w:before="120"/>
      </w:pPr>
    </w:p>
    <w:p>
      <w:pPr>
        <w:pStyle w:val="Heading2"/>
        <w:spacing w:after="80" w:before="280"/>
      </w:pPr>
      <w:r>
        <w:rPr>
          <w:rFonts w:ascii="Montserrat" w:cs="Montserrat" w:eastAsia="Montserrat" w:hAnsi="Montserrat"/>
          <w:b/>
          <w:bCs/>
          <w:color w:val="333333"/>
          <w:sz w:val="24"/>
          <w:szCs w:val="24"/>
        </w:rPr>
        <w:t xml:space="preserve">3.5  PMO 5000 — Existing Customer Routing Resolution</w:t>
      </w:r>
    </w:p>
    <w:p>
      <w:pPr>
        <w:spacing w:after="80" w:before="80"/>
      </w:pPr>
      <w:r>
        <w:rPr>
          <w:rFonts w:ascii="Open Sans" w:cs="Open Sans" w:eastAsia="Open Sans" w:hAnsi="Open Sans"/>
          <w:color w:val="333333"/>
          <w:sz w:val="20"/>
          <w:szCs w:val="20"/>
        </w:rPr>
        <w:t xml:space="preserve">The PMO 5000 architecture question — how existing B2B customers are routed at login when the new hub goes live — is a blocker for CMS routing layer finalization. The current team lean is:</w:t>
      </w:r>
    </w:p>
    <w:p>
      <w:pPr>
        <w:spacing w:after="0" w:before="60"/>
      </w:pPr>
    </w:p>
    <w:p>
      <w:pPr>
        <w:pStyle w:val="ListParagraph"/>
        <w:numPr>
          <w:ilvl w:val="0"/>
          <w:numId w:val="2"/>
        </w:numPr>
        <w:spacing w:after="40" w:before="40"/>
      </w:pPr>
      <w:r>
        <w:rPr>
          <w:rFonts w:ascii="Open Sans" w:cs="Open Sans" w:eastAsia="Open Sans" w:hAnsi="Open Sans"/>
          <w:color w:val="333333"/>
          <w:sz w:val="20"/>
          <w:szCs w:val="20"/>
        </w:rPr>
        <w:t xml:space="preserve">Leave existing customers as-is: existing B2B account holders continue to route through the legacy portal ID association set at their original sign-up.</w:t>
      </w:r>
    </w:p>
    <w:p>
      <w:pPr>
        <w:pStyle w:val="ListParagraph"/>
        <w:numPr>
          <w:ilvl w:val="0"/>
          <w:numId w:val="2"/>
        </w:numPr>
        <w:spacing w:after="40" w:before="40"/>
      </w:pPr>
      <w:r>
        <w:rPr>
          <w:rFonts w:ascii="Open Sans" w:cs="Open Sans" w:eastAsia="Open Sans" w:hAnsi="Open Sans"/>
          <w:color w:val="333333"/>
          <w:sz w:val="20"/>
          <w:szCs w:val="20"/>
        </w:rPr>
        <w:t xml:space="preserve">Apply new routing logic only to new sign-ups: new registrations post-Phase 1 go-live route through the CMS routing config table.</w:t>
      </w:r>
    </w:p>
    <w:p>
      <w:pPr>
        <w:pStyle w:val="ListParagraph"/>
        <w:numPr>
          <w:ilvl w:val="0"/>
          <w:numId w:val="2"/>
        </w:numPr>
        <w:spacing w:after="40" w:before="40"/>
      </w:pPr>
      <w:r>
        <w:rPr>
          <w:rFonts w:ascii="Open Sans" w:cs="Open Sans" w:eastAsia="Open Sans" w:hAnsi="Open Sans"/>
          <w:color w:val="333333"/>
          <w:sz w:val="20"/>
          <w:szCs w:val="20"/>
        </w:rPr>
        <w:t xml:space="preserve">This approach avoids retroactive migration of existing customer-portal associations and reduces regression risk.</w:t>
      </w:r>
    </w:p>
    <w:p>
      <w:pPr>
        <w:spacing w:after="0" w:before="60"/>
      </w:pPr>
    </w:p>
    <w:p>
      <w:pPr>
        <w:spacing w:after="80" w:before="80"/>
      </w:pPr>
      <w:r>
        <w:rPr>
          <w:rFonts w:ascii="Open Sans" w:cs="Open Sans" w:eastAsia="Open Sans" w:hAnsi="Open Sans"/>
          <w:color w:val="333333"/>
          <w:sz w:val="20"/>
          <w:szCs w:val="20"/>
        </w:rPr>
        <w:t xml:space="preserve">Formal authority to close this decision has not been established. Owner: Shia Bernstein + Brendan Bagley + Architecture Team. Target: March 2026. Architecture cannot be finalized until this is resolved.</w:t>
      </w:r>
    </w:p>
    <w:p>
      <w:pPr>
        <w:spacing w:after="0" w:before="120"/>
      </w:pPr>
    </w:p>
    <w:p>
      <w:pPr>
        <w:pStyle w:val="Heading2"/>
        <w:spacing w:after="80" w:before="280"/>
      </w:pPr>
      <w:r>
        <w:rPr>
          <w:rFonts w:ascii="Montserrat" w:cs="Montserrat" w:eastAsia="Montserrat" w:hAnsi="Montserrat"/>
          <w:b/>
          <w:bCs/>
          <w:color w:val="333333"/>
          <w:sz w:val="24"/>
          <w:szCs w:val="24"/>
        </w:rPr>
        <w:t xml:space="preserve">3.6  Phase 1 vs. Phase 2 Architecture Scope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Capability</w:t>
            </w:r>
          </w:p>
        </w:tc>
        <w:tc>
          <w:tcPr>
            <w:tcW w:type="dxa" w:w="308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Phase 1 (Aug 2026)</w:t>
            </w:r>
          </w:p>
        </w:tc>
        <w:tc>
          <w:tcPr>
            <w:tcW w:type="dxa" w:w="3080"/>
            <w:gridSpan w:val="1"/>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Phase 2 (Q4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Page content editor (CMS Admin UI)</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Contract entity management</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Draft / publish workflow + CDN invalidation</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Routing config editor (state → portal)</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SEO metadata editor</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Error state editor (CMS-managed error messages)</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Audit log viewer</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Role-based access (Admin + Editor)</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Included (2 roles)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Tiered admin (segment-scoped)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Domain whitelist management in CMS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Error messages only</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Full self-service whitelist management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Portal parameter editing via CMS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Read-only reference</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Surface BDBTools params in CMS UI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In-portal customer notifications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Not in scope</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Proactive notifications for existing customers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Asset management (logo uploads, CDN)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Manual CDN URL entry</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Managed asset upload and CDN integration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Dead category page fix</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Not in scope (horizon)</w:t>
            </w:r>
          </w:p>
        </w:tc>
        <w:tc>
          <w:tcPr>
            <w:tcW w:type="dxa" w:w="308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Portal-filtered category resolution</w:t>
            </w:r>
          </w:p>
        </w:tc>
      </w:tr>
    </w:tbl>
    <w:p>
      <w:pPr>
        <w:spacing w:after="0" w:before="80"/>
      </w:pPr>
    </w:p>
    <w:p>
      <w:r>
        <w:br/>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9A59" w:val="clear"/>
            <w:tcMar>
              <w:top w:type="dxa" w:w="200"/>
              <w:left w:type="dxa" w:w="240"/>
              <w:bottom w:type="dxa" w:w="200"/>
              <w:right w:type="dxa" w:w="240"/>
            </w:tcMar>
          </w:tcPr>
          <w:p>
            <w:pPr>
              <w:spacing w:after="20" w:before="0"/>
            </w:pPr>
            <w:r>
              <w:rPr>
                <w:rFonts w:ascii="Montserrat" w:cs="Montserrat" w:eastAsia="Montserrat" w:hAnsi="Montserrat"/>
                <w:b/>
                <w:bCs/>
                <w:color w:val="D8F0E0"/>
                <w:sz w:val="48"/>
                <w:szCs w:val="48"/>
              </w:rPr>
              <w:t xml:space="preserve">04</w:t>
            </w:r>
          </w:p>
          <w:p>
            <w:pPr>
              <w:spacing w:after="20" w:before="0"/>
            </w:pPr>
            <w:r>
              <w:rPr>
                <w:rFonts w:ascii="Montserrat" w:cs="Montserrat" w:eastAsia="Montserrat" w:hAnsi="Montserrat"/>
                <w:b/>
                <w:bCs/>
                <w:color w:val="FFFFFF"/>
                <w:sz w:val="36"/>
                <w:szCs w:val="36"/>
              </w:rPr>
              <w:t xml:space="preserve">Success Metrics</w:t>
            </w:r>
          </w:p>
          <w:p>
            <w:pPr>
              <w:spacing w:after="0" w:before="0"/>
            </w:pPr>
            <w:r>
              <w:rPr>
                <w:rFonts w:ascii="Open Sans" w:cs="Open Sans" w:eastAsia="Open Sans" w:hAnsi="Open Sans"/>
                <w:color w:val="D8F0E0"/>
                <w:sz w:val="20"/>
                <w:szCs w:val="20"/>
              </w:rPr>
              <w:t xml:space="preserve">How Phase 1 target state will be measured</w:t>
            </w:r>
          </w:p>
        </w:tc>
      </w:tr>
    </w:tbl>
    <w:p>
      <w:pPr>
        <w:spacing w:after="0" w:before="160"/>
      </w:pPr>
    </w:p>
    <w:p>
      <w:pPr>
        <w:spacing w:after="80" w:before="80"/>
      </w:pPr>
      <w:r>
        <w:rPr>
          <w:rFonts w:ascii="Open Sans" w:cs="Open Sans" w:eastAsia="Open Sans" w:hAnsi="Open Sans"/>
          <w:color w:val="333333"/>
          <w:sz w:val="20"/>
          <w:szCs w:val="20"/>
        </w:rPr>
        <w:t xml:space="preserve">All Phase 1 features ship with pre-defined success metrics and a paired measurement instrument. The B2B Hub Product Dashboard (React/Recharts, deployed to StackBlitz) visualizes these metrics across the Overview, Acquisition Funnel, and CMS Adoption tabs.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Metric</w:t>
            </w:r>
          </w:p>
        </w:tc>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Target</w:t>
            </w:r>
          </w:p>
        </w:tc>
        <w:tc>
          <w:tcPr>
            <w:tcW w:type="dxa" w:w="18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Baseline Source</w:t>
            </w:r>
          </w:p>
        </w:tc>
        <w:tc>
          <w:tcPr>
            <w:tcW w:type="dxa" w:w="31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Measurement Instrument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Self-Service Adoption</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80%+ within 6 months of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0% today (no CMS)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Hub Product Dashboard — CMS Adoption tab. % content updates without dev ticket.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Time-to-Publish</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&lt; 4 hours (from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2–8 weeks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audit log timestamps — avg time DRAFT → PUBLISHED.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Sign-Up Conversion</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+15% vs.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TBD from Splunk/GA4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Hub Product Dashboard — Acquisition Funnel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D&amp;B Support Volume</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−30% vs. baseline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TBD from support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Hub Product Dashboard — Overview tab.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Contract Page Accuracy</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100% within 30 days of contract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Manual audit (outdated today)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Manual quarterly audit by B2B ops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Stakeholder NPS</w:t>
            </w:r>
          </w:p>
        </w:tc>
        <w:tc>
          <w:tcPr>
            <w:tcW w:type="dxa" w:w="20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 8/10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Not measured today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Quarterly survey — Ariel Goldman + CMS operators.</w:t>
            </w:r>
          </w:p>
        </w:tc>
      </w:tr>
    </w:tbl>
    <w:p>
      <w:pPr>
        <w:spacing w:after="0" w:before="80"/>
      </w:pPr>
    </w:p>
    <w:p>
      <w:r>
        <w:br/>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9A59" w:val="clear"/>
            <w:tcMar>
              <w:top w:type="dxa" w:w="200"/>
              <w:left w:type="dxa" w:w="240"/>
              <w:bottom w:type="dxa" w:w="200"/>
              <w:right w:type="dxa" w:w="240"/>
            </w:tcMar>
          </w:tcPr>
          <w:p>
            <w:pPr>
              <w:spacing w:after="20" w:before="0"/>
            </w:pPr>
            <w:r>
              <w:rPr>
                <w:rFonts w:ascii="Montserrat" w:cs="Montserrat" w:eastAsia="Montserrat" w:hAnsi="Montserrat"/>
                <w:b/>
                <w:bCs/>
                <w:color w:val="D8F0E0"/>
                <w:sz w:val="48"/>
                <w:szCs w:val="48"/>
              </w:rPr>
              <w:t xml:space="preserve">05</w:t>
            </w:r>
          </w:p>
          <w:p>
            <w:pPr>
              <w:spacing w:after="20" w:before="0"/>
            </w:pPr>
            <w:r>
              <w:rPr>
                <w:rFonts w:ascii="Montserrat" w:cs="Montserrat" w:eastAsia="Montserrat" w:hAnsi="Montserrat"/>
                <w:b/>
                <w:bCs/>
                <w:color w:val="FFFFFF"/>
                <w:sz w:val="36"/>
                <w:szCs w:val="36"/>
              </w:rPr>
              <w:t xml:space="preserve">Phase 1 Roadmap</w:t>
            </w:r>
          </w:p>
          <w:p>
            <w:pPr>
              <w:spacing w:after="0" w:before="0"/>
            </w:pPr>
            <w:r>
              <w:rPr>
                <w:rFonts w:ascii="Open Sans" w:cs="Open Sans" w:eastAsia="Open Sans" w:hAnsi="Open Sans"/>
                <w:color w:val="D8F0E0"/>
                <w:sz w:val="20"/>
                <w:szCs w:val="20"/>
              </w:rPr>
              <w:t xml:space="preserve">Delivery milestones from architecture to August 2026 launch</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c>
          <w:tcPr>
            <w:tcW w:type="dxa" w:w="20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Phase</w:t>
            </w:r>
          </w:p>
        </w:tc>
        <w:tc>
          <w:tcPr>
            <w:tcW w:type="dxa" w:w="18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Timeframe</w:t>
            </w:r>
          </w:p>
        </w:tc>
        <w:tc>
          <w:tcPr>
            <w:tcW w:type="dxa" w:w="396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Deliverables</w:t>
            </w:r>
          </w:p>
        </w:tc>
        <w:tc>
          <w:tcPr>
            <w:tcW w:type="dxa" w:w="1600"/>
            <w:gridSpan w:val="1"/>
            <w:tcBorders>
              <w:top w:val="single" w:color="CCCCCC" w:sz="1"/>
              <w:left w:val="single" w:color="CCCCCC" w:sz="1"/>
              <w:bottom w:val="single" w:color="CCCCCC" w:sz="1"/>
              <w:right w:val="single" w:color="CCCCCC" w:sz="1"/>
            </w:tcBorders>
            <w:shd w:fill="3F9A59" w:val="clear"/>
            <w:tcMar>
              <w:top w:type="dxa" w:w="80"/>
              <w:left w:type="dxa" w:w="120"/>
              <w:bottom w:type="dxa" w:w="80"/>
              <w:right w:type="dxa" w:w="120"/>
            </w:tcMar>
          </w:tcPr>
          <w:p>
            <w:pPr>
              <w:spacing w:after="0" w:before="0"/>
            </w:pPr>
            <w:r>
              <w:rPr>
                <w:rFonts w:ascii="Open Sans" w:cs="Open Sans" w:eastAsia="Open Sans" w:hAnsi="Open Sans"/>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Discovery &amp; Research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Feb / Mar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UX research, stakeholder interviews, analytics analysis, IA validation</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Complete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Architecture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Mar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Backend CMS data model, API contracts, portal parameter integration spec, architect review, PMO 5000 resolution</w:t>
            </w:r>
          </w:p>
        </w:tc>
        <w:tc>
          <w:tcPr>
            <w:tcW w:type="dxa" w:w="1600"/>
            <w:tcBorders>
              <w:top w:val="single" w:color="CCCCCC" w:sz="1"/>
              <w:left w:val="single" w:color="CCCCCC" w:sz="1"/>
              <w:bottom w:val="single" w:color="CCCCCC" w:sz="1"/>
              <w:right w:val="single" w:color="CCCCCC" w:sz="1"/>
            </w:tcBorders>
            <w:shd w:fill="E6F2F8" w:val="clear"/>
            <w:tcMar>
              <w:top w:type="dxa" w:w="80"/>
              <w:left w:type="dxa" w:w="120"/>
              <w:bottom w:type="dxa" w:w="80"/>
              <w:right w:type="dxa" w:w="120"/>
            </w:tcMar>
          </w:tcPr>
          <w:p>
            <w:pPr>
              <w:spacing w:after="0" w:before="0"/>
            </w:pPr>
            <w:r>
              <w:rPr>
                <w:rFonts w:ascii="Open Sans" w:cs="Open Sans" w:eastAsia="Open Sans" w:hAnsi="Open Sans"/>
                <w:b/>
                <w:bCs/>
                <w:color w:val="007AB8"/>
                <w:sz w:val="18"/>
                <w:szCs w:val="18"/>
              </w:rPr>
              <w:t xml:space="preserve">In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Design &amp; Prototyping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Apr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operator UX, hub redesign wireframes, D&amp;B error states, sign-up flow redesign (pending research)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Not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Development — CMS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May – Jun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CMS backend build, admin UI, draft/publish workflow, audit log, role-based access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Not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Development — Hub 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Jun – Jul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Hub redesign, sign-up flow, contracts/eProcurement intake forms, state routing config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Not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UAT &amp; Stakeholder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Late Jul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B2B team UAT, SEO review, accessibility audit, performance testing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Not Started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Launch — Phase 1</w:t>
            </w:r>
          </w:p>
        </w:tc>
        <w:tc>
          <w:tcPr>
            <w:tcW w:type="dxa" w:w="18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August 2026</w:t>
            </w:r>
          </w:p>
        </w:tc>
        <w:tc>
          <w:tcPr>
            <w:tcW w:type="dxa" w:w="396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val="false"/>
                <w:bCs w:val="false"/>
                <w:color w:val="306F3D"/>
                <w:sz w:val="18"/>
                <w:szCs w:val="18"/>
              </w:rPr>
              <w:t xml:space="preserve">CMS Light + Hub Redesign go-live</w:t>
            </w:r>
          </w:p>
        </w:tc>
        <w:tc>
          <w:tcPr>
            <w:tcW w:type="dxa" w:w="1600"/>
            <w:tcBorders>
              <w:top w:val="single" w:color="CCCCCC" w:sz="1"/>
              <w:left w:val="single" w:color="CCCCCC" w:sz="1"/>
              <w:bottom w:val="single" w:color="CCCCCC" w:sz="1"/>
              <w:right w:val="single" w:color="CCCCCC" w:sz="1"/>
            </w:tcBorders>
            <w:shd w:fill="D8F0E0" w:val="clear"/>
            <w:tcMar>
              <w:top w:type="dxa" w:w="80"/>
              <w:left w:type="dxa" w:w="120"/>
              <w:bottom w:type="dxa" w:w="80"/>
              <w:right w:type="dxa" w:w="120"/>
            </w:tcMar>
          </w:tcPr>
          <w:p>
            <w:pPr>
              <w:spacing w:after="0" w:before="0"/>
            </w:pPr>
            <w:r>
              <w:rPr>
                <w:rFonts w:ascii="Open Sans" w:cs="Open Sans" w:eastAsia="Open Sans" w:hAnsi="Open Sans"/>
                <w:b/>
                <w:bCs/>
                <w:color w:val="306F3D"/>
                <w:sz w:val="18"/>
                <w:szCs w:val="18"/>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Phase 2 Planning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Sep – Q4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Open Sans" w:cs="Open Sans" w:eastAsia="Open Sans" w:hAnsi="Open Sans"/>
                <w:b w:val="false"/>
                <w:bCs w:val="false"/>
                <w:color w:val="333333"/>
                <w:sz w:val="18"/>
                <w:szCs w:val="18"/>
              </w:rPr>
              <w:t xml:space="preserve">In-portal notifications, tiered admin, asset management, portal parameter full integration, dead category page fix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Open Sans" w:cs="Open Sans" w:eastAsia="Open Sans" w:hAnsi="Open Sans"/>
                <w:b w:val="false"/>
                <w:bCs w:val="false"/>
                <w:color w:val="666666"/>
                <w:sz w:val="18"/>
                <w:szCs w:val="18"/>
              </w:rPr>
              <w:t xml:space="preserve">Horizon</w:t>
            </w:r>
          </w:p>
        </w:tc>
      </w:tr>
    </w:tbl>
    <w:p>
      <w:pPr>
        <w:spacing w:after="0" w:before="160"/>
      </w:pPr>
    </w:p>
    <w:p>
      <w:pPr>
        <w:spacing w:after="80" w:before="0"/>
      </w:pPr>
      <w:r>
        <w:rPr>
          <w:rFonts w:ascii="Open Sans" w:cs="Open Sans" w:eastAsia="Open Sans" w:hAnsi="Open Sans"/>
          <w:i/>
          <w:iCs/>
          <w:color w:val="666666"/>
          <w:sz w:val="18"/>
          <w:szCs w:val="18"/>
        </w:rPr>
        <w:t xml:space="preserve">Document End</w:t>
      </w:r>
    </w:p>
    <w:p>
      <w:pPr>
        <w:spacing w:after="0" w:before="0"/>
      </w:pPr>
      <w:r>
        <w:rPr>
          <w:rFonts w:ascii="Open Sans" w:cs="Open Sans" w:eastAsia="Open Sans" w:hAnsi="Open Sans"/>
          <w:color w:val="666666"/>
          <w:sz w:val="16"/>
          <w:szCs w:val="16"/>
        </w:rPr>
        <w:t xml:space="preserve">B&amp;H Photo Video Pro Audio · B2B Product Management · 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after="0" w:before="0"/>
    </w:pPr>
    <w:r>
      <w:rPr>
        <w:rFonts w:ascii="Open Sans" w:cs="Open Sans" w:eastAsia="Open Sans" w:hAnsi="Open Sans"/>
        <w:color w:val="666666"/>
        <w:sz w:val="16"/>
        <w:szCs w:val="16"/>
      </w:rPr>
      <w:t xml:space="preserve">Confidential — Internal Use Only · March 2026</w:t>
    </w:r>
    <w:r>
      <w:t xml:space="preserve">	</w:t>
    </w:r>
    <w:r>
      <w:rPr>
        <w:rFonts w:ascii="Open Sans" w:cs="Open Sans" w:eastAsia="Open Sans" w:hAnsi="Open Sans"/>
        <w:color w:val="666666"/>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F9A59" w:sz="4" w:space="4"/>
      </w:pBdr>
      <w:tabs>
        <w:tab w:val="right" w:pos="9026"/>
      </w:tabs>
      <w:spacing w:after="0" w:before="0"/>
    </w:pPr>
    <w:r>
      <w:rPr>
        <w:rFonts w:ascii="Montserrat" w:cs="Montserrat" w:eastAsia="Montserrat" w:hAnsi="Montserrat"/>
        <w:b/>
        <w:bCs/>
        <w:color w:val="3F9A59"/>
        <w:sz w:val="18"/>
        <w:szCs w:val="18"/>
      </w:rPr>
      <w:t xml:space="preserve">B&amp;H Photo Video Pro Audio</w:t>
    </w:r>
    <w:r>
      <w:t xml:space="preserve">	</w:t>
    </w:r>
    <w:r>
      <w:rPr>
        <w:rFonts w:ascii="Open Sans" w:cs="Open Sans" w:eastAsia="Open Sans" w:hAnsi="Open Sans"/>
        <w:color w:val="666666"/>
        <w:sz w:val="16"/>
        <w:szCs w:val="16"/>
      </w:rPr>
      <w:t xml:space="preserve">B2B Hub — Target State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ontserrat" w:cs="Montserrat" w:eastAsia="Montserrat" w:hAnsi="Montserrat"/>
      <w:b/>
      <w:bCs/>
      <w:color w:val="3F9A59"/>
      <w:sz w:val="28"/>
      <w:szCs w:val="28"/>
    </w:rPr>
  </w:style>
  <w:style w:type="paragraph" w:styleId="Heading2">
    <w:name w:val="Heading 2"/>
    <w:basedOn w:val="Normal"/>
    <w:next w:val="Normal"/>
    <w:qFormat/>
    <w:pPr>
      <w:spacing w:after="80" w:before="280"/>
      <w:outlineLvl w:val="1"/>
    </w:pPr>
    <w:rPr>
      <w:rFonts w:ascii="Montserrat" w:cs="Montserrat" w:eastAsia="Montserrat" w:hAnsi="Montserrat"/>
      <w:b/>
      <w:bCs/>
      <w:color w:val="333333"/>
      <w:sz w:val="24"/>
      <w:szCs w:val="24"/>
    </w:rPr>
  </w:style>
  <w:style w:type="paragraph" w:styleId="Heading3">
    <w:name w:val="Heading 3"/>
    <w:basedOn w:val="Normal"/>
    <w:next w:val="Normal"/>
    <w:qFormat/>
    <w:pPr>
      <w:spacing w:after="60" w:before="200"/>
      <w:outlineLvl w:val="2"/>
    </w:pPr>
    <w:rPr>
      <w:rFonts w:ascii="Open Sans" w:cs="Open Sans" w:eastAsia="Open Sans" w:hAnsi="Open Sans"/>
      <w:b/>
      <w:bCs/>
      <w:color w:val="007AB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2026-03-20T16:57:32.138Z</dcterms:created>
  <dcterms:modified xsi:type="dcterms:W3CDTF">2026-03-20T16:57:32.139Z</dcterms:modified>
</cp:coreProperties>
</file>

<file path=docProps/custom.xml><?xml version="1.0" encoding="utf-8"?>
<Properties xmlns="http://schemas.openxmlformats.org/officeDocument/2006/custom-properties" xmlns:vt="http://schemas.openxmlformats.org/officeDocument/2006/docPropsVTypes"/>
</file>