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Open Sans" w:cs="Open Sans" w:eastAsia="Open Sans" w:hAnsi="Open Sans"/>
        </w:rPr>
        <w:t xml:space="preserve"/>
      </w:r>
    </w:p>
    <w:p>
      <w:pPr>
        <w:spacing w:after="120" w:before="0"/>
        <w:jc w:val="center"/>
      </w:pPr>
      <w:r>
        <w:rPr>
          <w:rFonts w:ascii="Montserrat" w:cs="Montserrat" w:eastAsia="Montserrat" w:hAnsi="Montserrat"/>
          <w:b/>
          <w:bCs/>
          <w:color w:val="990000"/>
          <w:sz w:val="36"/>
          <w:szCs w:val="36"/>
        </w:rPr>
        <w:t xml:space="preserve">B&amp;H PHOTO VIDEO PRO AUDIO</w:t>
      </w:r>
    </w:p>
    <w:p>
      <w:pPr>
        <w:spacing w:after="80" w:before="0"/>
        <w:jc w:val="center"/>
      </w:pPr>
      <w:r>
        <w:rPr>
          <w:rFonts w:ascii="Montserrat" w:cs="Montserrat" w:eastAsia="Montserrat" w:hAnsi="Montserrat"/>
          <w:b/>
          <w:bCs/>
          <w:color w:val="333333"/>
          <w:sz w:val="52"/>
          <w:szCs w:val="52"/>
        </w:rPr>
        <w:t xml:space="preserve">B2B Hub Modernization</w:t>
      </w:r>
    </w:p>
    <w:p>
      <w:pPr>
        <w:spacing w:after="80" w:before="0"/>
        <w:jc w:val="center"/>
      </w:pPr>
      <w:r>
        <w:rPr>
          <w:rFonts w:ascii="Montserrat" w:cs="Montserrat" w:eastAsia="Montserrat" w:hAnsi="Montserrat"/>
          <w:color w:val="666666"/>
          <w:sz w:val="30"/>
          <w:szCs w:val="30"/>
        </w:rPr>
        <w:t xml:space="preserve">Phase 1 Product Requirements Document</w:t>
      </w:r>
    </w:p>
    <w:p>
      <w:pPr>
        <w:spacing w:after="0" w:before="240"/>
      </w:pPr>
      <w:r>
        <w:rPr>
          <w:rFonts w:ascii="Open Sans" w:cs="Open Sans" w:eastAsia="Open Sans" w:hAnsi="Open Sans"/>
        </w:rPr>
        <w:t xml:space="preserve"/>
      </w:r>
    </w:p>
    <w:p>
      <w:pPr>
        <w:pBdr>
          <w:bottom w:val="single" w:color="990000" w:sz="6" w:space="1"/>
        </w:pBdr>
        <w:spacing w:after="240" w:before="0"/>
      </w:pPr>
      <w:r>
        <w:rPr>
          <w:rFonts w:ascii="Open Sans" w:cs="Open Sans" w:eastAsia="Open Sans" w:hAnsi="Open Sans"/>
        </w:rPr>
        <w:t xml:space="preserve"/>
      </w:r>
    </w:p>
    <w:p>
      <w:pPr>
        <w:spacing w:after="0" w:before="120"/>
      </w:pPr>
      <w:r>
        <w:rPr>
          <w:rFonts w:ascii="Open Sans" w:cs="Open Sans" w:eastAsia="Open Sans" w:hAnsi="Open Sans"/>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Version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3.0 — April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Status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 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Author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Management — B2B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Executive Sponsor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Ceren Ozgul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Primary Stakeholders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Ariel Goldman  ·  Jerel Smith  ·  Brendan Bagley  ·  Jay Linder  ·  Shia Bernstein  ·  Sam Herman  ·  Josh Bernstein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Companion Docs</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Technical Architecture v1.2  ·  User Stories &amp; Gherkin Scenarios v2.0  ·  GA4 Tagging Spec Parts 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Phase Scope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Phase 1 only — JSON Configuration Layer + Sign-Up Centered UX</w:t>
            </w:r>
          </w:p>
        </w:tc>
      </w:tr>
    </w:tbl>
    <w:p>
      <w:pPr>
        <w:spacing w:after="0" w:before="480"/>
      </w:pPr>
      <w:r>
        <w:rPr>
          <w:rFonts w:ascii="Open Sans" w:cs="Open Sans" w:eastAsia="Open Sans" w:hAnsi="Open Sans"/>
        </w:rPr>
        <w:t xml:space="preserve"/>
      </w:r>
    </w:p>
    <w:p>
      <w:pPr>
        <w:jc w:val="center"/>
      </w:pPr>
      <w:r>
        <w:rPr>
          <w:rFonts w:ascii="Open Sans" w:cs="Open Sans" w:eastAsia="Open Sans" w:hAnsi="Open Sans"/>
          <w:i/>
          <w:iCs/>
          <w:color w:val="666666"/>
          <w:sz w:val="16"/>
          <w:szCs w:val="16"/>
        </w:rPr>
        <w:t xml:space="preserve">B&amp;H Photo Video Pro Audio  ·  B2B Product Management  ·  Confidential — Internal Use Only</w:t>
      </w:r>
    </w:p>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1. Executive Summary</w:t>
      </w:r>
    </w:p>
    <w:p>
      <w:pPr>
        <w:spacing w:after="80" w:before="60"/>
      </w:pPr>
      <w:r>
        <w:rPr>
          <w:rFonts w:ascii="Open Sans" w:cs="Open Sans" w:eastAsia="Open Sans" w:hAnsi="Open Sans"/>
        </w:rPr>
        <w:t xml:space="preserve">This document defines Phase 1 requirements for the B2B Hub Modernization initiative. It is scoped exclusively to two interconnected workstreams that together constitute a production-shippable milestone:</w:t>
      </w:r>
    </w:p>
    <w:p>
      <w:pPr>
        <w:spacing w:after="0" w:before="80"/>
      </w:pPr>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Pillar</w:t>
            </w:r>
          </w:p>
        </w:tc>
        <w:tc>
          <w:tcPr>
            <w:tcW w:type="dxa" w:w="1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Label</w:t>
            </w:r>
          </w:p>
        </w:tc>
        <w:tc>
          <w:tcPr>
            <w:tcW w:type="dxa" w:w="6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What it delivers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Sign-Up Centered UX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 qualification-first acquisition funnel where new visitors provide org type, state, and contact information before cooperative contracts or portal options are revealed. Sign-up is the primary hub CTA — not segment browsing.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JSON Content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 JSON configuration layer replacing all hard-coded hub, segment, and contract page content. Managed through a CMS Lite admin panel (React prototype → production equivalent). Enables the B2B team to publish content changes without developer involvement.</w:t>
            </w:r>
          </w:p>
        </w:tc>
      </w:tr>
    </w:tbl>
    <w:p>
      <w:pPr>
        <w:spacing w:after="0" w:before="120"/>
      </w:pPr>
      <w:r>
        <w:rPr>
          <w:rFonts w:ascii="Open Sans" w:cs="Open Sans" w:eastAsia="Open Sans" w:hAnsi="Open Sans"/>
        </w:rPr>
        <w:t xml:space="preserve"/>
      </w:r>
    </w:p>
    <w:p>
      <w:pPr>
        <w:spacing w:after="80" w:before="60"/>
      </w:pPr>
      <w:r>
        <w:rPr>
          <w:rFonts w:ascii="Open Sans" w:cs="Open Sans" w:eastAsia="Open Sans" w:hAnsi="Open Sans"/>
        </w:rPr>
        <w:t xml:space="preserve">Together these workstreams close the two most critical operational and conversion gaps identified in Q1 2026 discovery: content drift caused by hard-code dependencies, and sign-up abandonment driven by a segment-first browsing model that requires navigation overhead before a prospect can register.</w:t>
      </w:r>
    </w:p>
    <w:p>
      <w:pPr>
        <w:spacing w:after="0" w:before="80"/>
      </w:pPr>
      <w:r>
        <w:rPr>
          <w:rFonts w:ascii="Open Sans" w:cs="Open Sans" w:eastAsia="Open Sans" w:hAnsi="Open Sans"/>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D8D5" w:val="clear"/>
            <w:tcMar>
              <w:top w:type="dxa" w:w="120"/>
              <w:left w:type="dxa" w:w="200"/>
              <w:bottom w:type="dxa" w:w="120"/>
              <w:right w:type="dxa" w:w="200"/>
            </w:tcMar>
          </w:tcPr>
          <w:p>
            <w:pPr>
              <w:spacing w:after="80" w:before="40"/>
            </w:pPr>
            <w:r>
              <w:rPr>
                <w:rFonts w:ascii="Montserrat" w:cs="Montserrat" w:eastAsia="Montserrat" w:hAnsi="Montserrat"/>
                <w:b/>
                <w:bCs/>
                <w:color w:val="990000"/>
                <w:sz w:val="22"/>
                <w:szCs w:val="22"/>
              </w:rPr>
              <w:t xml:space="preserve">Strategic Alignment</w:t>
            </w:r>
          </w:p>
          <w:p>
            <w:pPr>
              <w:pStyle w:val="ListParagraph"/>
              <w:numPr>
                <w:ilvl w:val="0"/>
                <w:numId w:val="2"/>
              </w:numPr>
              <w:spacing w:after="40" w:before="40"/>
            </w:pPr>
            <w:r>
              <w:rPr>
                <w:rFonts w:ascii="Open Sans" w:cs="Open Sans" w:eastAsia="Open Sans" w:hAnsi="Open Sans"/>
              </w:rPr>
              <w:t xml:space="preserve">Supports B&amp;H B2B growth targets by reducing acquisition funnel friction and increasing new account creation.</w:t>
            </w:r>
          </w:p>
          <w:p>
            <w:pPr>
              <w:pStyle w:val="ListParagraph"/>
              <w:numPr>
                <w:ilvl w:val="0"/>
                <w:numId w:val="2"/>
              </w:numPr>
              <w:spacing w:after="40" w:before="40"/>
            </w:pPr>
            <w:r>
              <w:rPr>
                <w:rFonts w:ascii="Open Sans" w:cs="Open Sans" w:eastAsia="Open Sans" w:hAnsi="Open Sans"/>
              </w:rPr>
              <w:t xml:space="preserve">Reduces content time-to-market from weeks/months to hours by removing the developer dependency for hub updates.</w:t>
            </w:r>
          </w:p>
          <w:p>
            <w:pPr>
              <w:pStyle w:val="ListParagraph"/>
              <w:numPr>
                <w:ilvl w:val="0"/>
                <w:numId w:val="2"/>
              </w:numPr>
              <w:spacing w:after="40" w:before="40"/>
            </w:pPr>
            <w:r>
              <w:rPr>
                <w:rFonts w:ascii="Open Sans" w:cs="Open Sans" w:eastAsia="Open Sans" w:hAnsi="Open Sans"/>
              </w:rPr>
              <w:t xml:space="preserve">Creates the technical foundation for Phase 2 capabilities: full CMS GUI, tiered admin, and in-portal notifications.</w:t>
            </w:r>
          </w:p>
          <w:p>
            <w:pPr>
              <w:pStyle w:val="ListParagraph"/>
              <w:numPr>
                <w:ilvl w:val="0"/>
                <w:numId w:val="2"/>
              </w:numPr>
              <w:spacing w:after="40" w:before="40"/>
            </w:pPr>
            <w:r>
              <w:rPr>
                <w:rFonts w:ascii="Open Sans" w:cs="Open Sans" w:eastAsia="Open Sans" w:hAnsi="Open Sans"/>
              </w:rPr>
              <w:t xml:space="preserve">Aligns with Ceren Ozgul's mandate to rebuild the B2B product process on a research and metrics foundation.</w:t>
            </w:r>
          </w:p>
          <w:p>
            <w:pPr>
              <w:pStyle w:val="ListParagraph"/>
              <w:numPr>
                <w:ilvl w:val="0"/>
                <w:numId w:val="2"/>
              </w:numPr>
              <w:spacing w:after="40" w:before="40"/>
            </w:pPr>
            <w:r>
              <w:rPr>
                <w:rFonts w:ascii="Open Sans" w:cs="Open Sans" w:eastAsia="Open Sans" w:hAnsi="Open Sans"/>
              </w:rPr>
              <w:t xml:space="preserve">Qualification-first sign-up pattern validated with Ariel Goldman in discovery; confirmed as the Phase 1 direction.</w:t>
            </w:r>
          </w:p>
        </w:tc>
      </w:tr>
    </w:tbl>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2. Problem Statement</w:t>
      </w:r>
    </w:p>
    <w:p>
      <w:pPr>
        <w:spacing w:after="120" w:before="280"/>
      </w:pPr>
      <w:r>
        <w:rPr>
          <w:rFonts w:ascii="Montserrat" w:cs="Montserrat" w:eastAsia="Montserrat" w:hAnsi="Montserrat"/>
          <w:b/>
          <w:bCs/>
          <w:color w:val="333333"/>
          <w:sz w:val="24"/>
          <w:szCs w:val="24"/>
        </w:rPr>
        <w:t xml:space="preserve">2.1  Content Is Locked Behind Developer Dependency</w:t>
      </w:r>
    </w:p>
    <w:p>
      <w:pPr>
        <w:spacing w:after="80" w:before="60"/>
      </w:pPr>
      <w:r>
        <w:rPr>
          <w:rFonts w:ascii="Open Sans" w:cs="Open Sans" w:eastAsia="Open Sans" w:hAnsi="Open Sans"/>
        </w:rPr>
        <w:t xml:space="preserve">All hub and portal page content is hard-coded in the codebase. The B2B business team cannot independently update headlines, body copy, cooperative contract listings, logos, or segment configurations. Every change requires a Jira ticket, developer time, QA, and a deployment cycle. This has resulted in:</w:t>
      </w:r>
    </w:p>
    <w:p>
      <w:pPr>
        <w:pStyle w:val="ListParagraph"/>
        <w:numPr>
          <w:ilvl w:val="0"/>
          <w:numId w:val="2"/>
        </w:numPr>
        <w:spacing w:after="40" w:before="40"/>
      </w:pPr>
      <w:r>
        <w:rPr>
          <w:rFonts w:ascii="Open Sans" w:cs="Open Sans" w:eastAsia="Open Sans" w:hAnsi="Open Sans"/>
        </w:rPr>
        <w:t xml:space="preserve">Content drift — pages carrying outdated copy, logos, and contract information months or years after changes are needed.</w:t>
      </w:r>
    </w:p>
    <w:p>
      <w:pPr>
        <w:pStyle w:val="ListParagraph"/>
        <w:numPr>
          <w:ilvl w:val="0"/>
          <w:numId w:val="2"/>
        </w:numPr>
        <w:spacing w:after="40" w:before="40"/>
      </w:pPr>
      <w:r>
        <w:rPr>
          <w:rFonts w:ascii="Open Sans" w:cs="Open Sans" w:eastAsia="Open Sans" w:hAnsi="Open Sans"/>
        </w:rPr>
        <w:t xml:space="preserve">Missed contract opportunities — new cooperative contracts taking months to appear on the hub after execution.</w:t>
      </w:r>
    </w:p>
    <w:p>
      <w:pPr>
        <w:pStyle w:val="ListParagraph"/>
        <w:numPr>
          <w:ilvl w:val="0"/>
          <w:numId w:val="2"/>
        </w:numPr>
        <w:spacing w:after="40" w:before="40"/>
      </w:pPr>
      <w:r>
        <w:rPr>
          <w:rFonts w:ascii="Open Sans" w:cs="Open Sans" w:eastAsia="Open Sans" w:hAnsi="Open Sans"/>
        </w:rPr>
        <w:t xml:space="preserve">Backlog debt — a growing queue of deferred content tickets competing with feature work.</w:t>
      </w:r>
    </w:p>
    <w:p>
      <w:pPr>
        <w:pStyle w:val="ListParagraph"/>
        <w:numPr>
          <w:ilvl w:val="0"/>
          <w:numId w:val="2"/>
        </w:numPr>
        <w:spacing w:after="40" w:before="40"/>
      </w:pPr>
      <w:r>
        <w:rPr>
          <w:rFonts w:ascii="Open Sans" w:cs="Open Sans" w:eastAsia="Open Sans" w:hAnsi="Open Sans"/>
        </w:rPr>
        <w:t xml:space="preserve">Credibility damage — the eProcurement page lists SAP and Ariba as separate platforms; SAP acquired Ariba approximately 15 years ago. Flagged explicitly by Ariel Goldman. Cannot be fixed without a dev ticket today.</w:t>
      </w:r>
    </w:p>
    <w:p>
      <w:pPr>
        <w:pStyle w:val="ListParagraph"/>
        <w:numPr>
          <w:ilvl w:val="0"/>
          <w:numId w:val="2"/>
        </w:numPr>
        <w:spacing w:after="40" w:before="40"/>
      </w:pPr>
      <w:r>
        <w:rPr>
          <w:rFonts w:ascii="Open Sans" w:cs="Open Sans" w:eastAsia="Open Sans" w:hAnsi="Open Sans"/>
        </w:rPr>
        <w:t xml:space="preserve">Operational frustration — even a logo change can take months. Confirmed as a top-3 priority in the Ariel Goldman discovery interview.</w:t>
      </w:r>
    </w:p>
    <w:p>
      <w:pPr>
        <w:spacing w:after="120" w:before="280"/>
      </w:pPr>
      <w:r>
        <w:rPr>
          <w:rFonts w:ascii="Montserrat" w:cs="Montserrat" w:eastAsia="Montserrat" w:hAnsi="Montserrat"/>
          <w:b/>
          <w:bCs/>
          <w:color w:val="333333"/>
          <w:sz w:val="24"/>
          <w:szCs w:val="24"/>
        </w:rPr>
        <w:t xml:space="preserve">2.2  The Sign-Up Experience Is Not Built for Conversion</w:t>
      </w:r>
    </w:p>
    <w:p>
      <w:pPr>
        <w:spacing w:after="80" w:before="60"/>
      </w:pPr>
      <w:r>
        <w:rPr>
          <w:rFonts w:ascii="Open Sans" w:cs="Open Sans" w:eastAsia="Open Sans" w:hAnsi="Open Sans"/>
        </w:rPr>
        <w:t xml:space="preserve">The current hub was designed as an information architecture — users browse segment pages before reaching a sign-up option. Discovery and stakeholder validation surfaced the following as the primary conversion problem:</w:t>
      </w:r>
    </w:p>
    <w:p>
      <w:pPr>
        <w:pStyle w:val="ListParagraph"/>
        <w:numPr>
          <w:ilvl w:val="0"/>
          <w:numId w:val="2"/>
        </w:numPr>
        <w:spacing w:after="40" w:before="40"/>
      </w:pPr>
      <w:r>
        <w:rPr>
          <w:rFonts w:ascii="Open Sans" w:cs="Open Sans" w:eastAsia="Open Sans" w:hAnsi="Open Sans"/>
        </w:rPr>
        <w:t xml:space="preserve">Segment-first funnel adds browsing overhead before a prospect can register. Ariel Goldman's top priority is making sign-up immediately accessible on hub entry.</w:t>
      </w:r>
    </w:p>
    <w:p>
      <w:pPr>
        <w:pStyle w:val="ListParagraph"/>
        <w:numPr>
          <w:ilvl w:val="0"/>
          <w:numId w:val="2"/>
        </w:numPr>
        <w:spacing w:after="40" w:before="40"/>
      </w:pPr>
      <w:r>
        <w:rPr>
          <w:rFonts w:ascii="Open Sans" w:cs="Open Sans" w:eastAsia="Open Sans" w:hAnsi="Open Sans"/>
        </w:rPr>
        <w:t xml:space="preserve">No qualification capture — the current flow does not collect org type, state, or contact information before revealing cooperative contracts or portal options. This creates misrouting and support overhead.</w:t>
      </w:r>
    </w:p>
    <w:p>
      <w:pPr>
        <w:pStyle w:val="ListParagraph"/>
        <w:numPr>
          <w:ilvl w:val="0"/>
          <w:numId w:val="2"/>
        </w:numPr>
        <w:spacing w:after="40" w:before="40"/>
      </w:pPr>
      <w:r>
        <w:rPr>
          <w:rFonts w:ascii="Open Sans" w:cs="Open Sans" w:eastAsia="Open Sans" w:hAnsi="Open Sans"/>
        </w:rPr>
        <w:t xml:space="preserve">Qualification-first model validated — a model where users provide contact information, org type, and state upfront — with cooperative contract options revealed after qualification — was explored in discovery and validated as the Phase 1 direction.</w:t>
      </w:r>
    </w:p>
    <w:p>
      <w:pPr>
        <w:pStyle w:val="ListParagraph"/>
        <w:numPr>
          <w:ilvl w:val="0"/>
          <w:numId w:val="2"/>
        </w:numPr>
        <w:spacing w:after="40" w:before="40"/>
      </w:pPr>
      <w:r>
        <w:rPr>
          <w:rFonts w:ascii="Open Sans" w:cs="Open Sans" w:eastAsia="Open Sans" w:hAnsi="Open Sans"/>
        </w:rPr>
        <w:t xml:space="preserve">D&amp;B verification errors are the single highest-volume support trigger post-hub-landing. Error messaging is insufficient across all three verification paths (D&amp;B, email domain whitelist, manual review).</w:t>
      </w:r>
    </w:p>
    <w:p>
      <w:pPr>
        <w:spacing w:after="120" w:before="280"/>
      </w:pPr>
      <w:r>
        <w:rPr>
          <w:rFonts w:ascii="Montserrat" w:cs="Montserrat" w:eastAsia="Montserrat" w:hAnsi="Montserrat"/>
          <w:b/>
          <w:bCs/>
          <w:color w:val="333333"/>
          <w:sz w:val="24"/>
          <w:szCs w:val="24"/>
        </w:rPr>
        <w:t xml:space="preserve">2.3  The Studio Hub Has No Analytics Visibility</w:t>
      </w:r>
    </w:p>
    <w:p>
      <w:pPr>
        <w:spacing w:after="80" w:before="60"/>
      </w:pPr>
      <w:r>
        <w:rPr>
          <w:rFonts w:ascii="Open Sans" w:cs="Open Sans" w:eastAsia="Open Sans" w:hAnsi="Open Sans"/>
        </w:rPr>
        <w:t xml:space="preserve">The Studio Hub page is entirely untagged in GA4. No traffic or engagement data exists. Identified as an immediate quick win in the Danielo Garcia discovery sessions, independent of the broader hub redesign.</w:t>
      </w:r>
    </w:p>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60"/>
        <w:gridCol w:w="3200"/>
      </w:tblGrid>
      <w:tr>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Goal</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Success Metric</w:t>
            </w:r>
          </w:p>
        </w:tc>
        <w:tc>
          <w:tcPr>
            <w:tcW w:type="dxa" w:w="15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Target</w:t>
            </w:r>
          </w:p>
        </w:tc>
        <w:tc>
          <w:tcPr>
            <w:tcW w:type="dxa" w:w="3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Measurement Instrument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Sign-Up Conversion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Hub visitors completing B2B account creation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+15% vs. baseline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B2B Hub Product Dashboard — Acquisition Funnel tab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Qualification Completion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Visitors who reach Step 1 (org type / state) and complete the form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 60% completion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GA4 — sign_up_step_complete events (Steps 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CMS Self-Service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 of content updates completed without a dev ticket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 80% within 6 months of launch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B2B Hub Dashboard — CMS Adoption tab; CMS audit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Time-to-Publish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Hours from business request to live content change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&lt; 4 hours (from current weeks)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CMS audit log timestamps — avg DRAFT → PUBLISHED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D&amp;B Support Deflection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Support contacts triggered by D&amp;B verification failures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−30% vs. baseline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B2B Hub Dashboard — Overview tab; support ticket tagging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Contract Page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Contract listings updated within 30 days of contract change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Manual audit by B2B ops team — quarterly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Stakeholder Satisfaction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B2B team NPS on content management experience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 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Quarterly survey — Ariel Goldman + CMS operators</w:t>
            </w:r>
          </w:p>
        </w:tc>
      </w:tr>
    </w:tbl>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4. User Personas</w:t>
      </w:r>
    </w:p>
    <w:p>
      <w:pPr>
        <w:spacing w:after="120" w:before="280"/>
      </w:pPr>
      <w:r>
        <w:rPr>
          <w:rFonts w:ascii="Montserrat" w:cs="Montserrat" w:eastAsia="Montserrat" w:hAnsi="Montserrat"/>
          <w:b/>
          <w:bCs/>
          <w:color w:val="333333"/>
          <w:sz w:val="24"/>
          <w:szCs w:val="24"/>
        </w:rPr>
        <w:t xml:space="preserve">4.1  External Users (Hub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Persona</w:t>
            </w:r>
          </w:p>
        </w:tc>
        <w:tc>
          <w:tcPr>
            <w:tcW w:type="dxa" w:w="18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Segment</w:t>
            </w:r>
          </w:p>
        </w:tc>
        <w:tc>
          <w:tcPr>
            <w:tcW w:type="dxa" w:w="5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Hub Need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Procurement Officer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Gov / Higher 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Arrives with a specific contract in mind. Needs fast path to confirm contract eligibility and sign up under the right cooperative. Qualification funnel reveals contract options after org type and state are confirmed.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IT Director / Technology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Corporate / Healthcare / SI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Evaluating B&amp;H as a vendor. Needs to understand portal capabilities, quote workflows, and eProcurement integration before committing to sign-up. The qualification form captures intent signals for sales routing.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Small Business Owner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SMB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Less familiar with B2B purchasing. Needs a simple, direct path to sign up without navigating a segment browsing model. Qualification-first flow reduces confusion by asking one question at a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Faith / Nonprofit Administrator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Faith / Non-Profit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Motivated by tax exemption and net terms. Low procurement complexity. Sign-up should surface relevant benefits (tax-exempt, net 30) immediately after org type qualification.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International Buyer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International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Export-specific needs. Qualification funnel must route correctly based on org type. Dedicated rep contact surfaced after qualification.</w:t>
            </w:r>
          </w:p>
        </w:tc>
      </w:tr>
    </w:tbl>
    <w:p>
      <w:pPr>
        <w:spacing w:after="0" w:before="200"/>
      </w:pPr>
      <w:r>
        <w:rPr>
          <w:rFonts w:ascii="Open Sans" w:cs="Open Sans" w:eastAsia="Open Sans" w:hAnsi="Open Sans"/>
        </w:rPr>
        <w:t xml:space="preserve"/>
      </w:r>
    </w:p>
    <w:p>
      <w:pPr>
        <w:spacing w:after="120" w:before="280"/>
      </w:pPr>
      <w:r>
        <w:rPr>
          <w:rFonts w:ascii="Montserrat" w:cs="Montserrat" w:eastAsia="Montserrat" w:hAnsi="Montserrat"/>
          <w:b/>
          <w:bCs/>
          <w:color w:val="333333"/>
          <w:sz w:val="24"/>
          <w:szCs w:val="24"/>
        </w:rPr>
        <w:t xml:space="preserve">4.2  Internal Users — CMS Operators</w:t>
      </w:r>
    </w:p>
    <w:p>
      <w:pPr>
        <w:pStyle w:val="ListParagraph"/>
        <w:numPr>
          <w:ilvl w:val="0"/>
          <w:numId w:val="2"/>
        </w:numPr>
        <w:spacing w:after="40" w:before="40"/>
      </w:pPr>
      <w:r>
        <w:rPr>
          <w:rFonts w:ascii="Open Sans" w:cs="Open Sans" w:eastAsia="Open Sans" w:hAnsi="Open Sans"/>
        </w:rPr>
        <w:t xml:space="preserve">B2B Business Team (Ariel Goldman, Josh Bernstein) — Primary CMS operators with publish rights. Will manage contract listings, segment copy, and hub content. Currently blocked by dev dependency for every change.</w:t>
      </w:r>
    </w:p>
    <w:p>
      <w:pPr>
        <w:pStyle w:val="ListParagraph"/>
        <w:numPr>
          <w:ilvl w:val="0"/>
          <w:numId w:val="2"/>
        </w:numPr>
        <w:spacing w:after="40" w:before="40"/>
      </w:pPr>
      <w:r>
        <w:rPr>
          <w:rFonts w:ascii="Open Sans" w:cs="Open Sans" w:eastAsia="Open Sans" w:hAnsi="Open Sans"/>
        </w:rPr>
        <w:t xml:space="preserve">Product Management (Jerel Smith, Brendan Bagley) — Will use the JSON/CMS layer to prototype copy changes, validate new segment configurations, and configure contracts before shipping to production.</w:t>
      </w:r>
    </w:p>
    <w:p>
      <w:pPr>
        <w:pStyle w:val="ListParagraph"/>
        <w:numPr>
          <w:ilvl w:val="0"/>
          <w:numId w:val="2"/>
        </w:numPr>
        <w:spacing w:after="40" w:before="40"/>
      </w:pPr>
      <w:r>
        <w:rPr>
          <w:rFonts w:ascii="Open Sans" w:cs="Open Sans" w:eastAsia="Open Sans" w:hAnsi="Open Sans"/>
        </w:rPr>
        <w:t xml:space="preserve">Marketing / Content Team — Will manage hub hero copy, benefits messaging, and SEO metadata as B2B acquisition content strategy matures.</w:t>
      </w:r>
    </w:p>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5. Phase 1 Feature Requirements</w:t>
      </w:r>
    </w:p>
    <w:p>
      <w:pPr>
        <w:spacing w:after="120" w:before="280"/>
      </w:pPr>
      <w:r>
        <w:rPr>
          <w:rFonts w:ascii="Montserrat" w:cs="Montserrat" w:eastAsia="Montserrat" w:hAnsi="Montserrat"/>
          <w:b/>
          <w:bCs/>
          <w:color w:val="333333"/>
          <w:sz w:val="24"/>
          <w:szCs w:val="24"/>
        </w:rPr>
        <w:t xml:space="preserve">5.1  Priority Framework</w:t>
      </w:r>
    </w:p>
    <w:p>
      <w:pPr>
        <w:spacing w:after="80" w:before="60"/>
      </w:pPr>
      <w:r>
        <w:rPr>
          <w:rFonts w:ascii="Open Sans" w:cs="Open Sans" w:eastAsia="Open Sans" w:hAnsi="Open Sans"/>
        </w:rPr>
        <w:t xml:space="preserve">P0 = Required for Phase 1 launch.  P1 = Required for full Phase 1 rollout.  P2 = Post-Phase 1 (deferred).</w:t>
      </w:r>
    </w:p>
    <w:p>
      <w:pPr>
        <w:spacing w:after="0" w:before="80"/>
      </w:pPr>
      <w:r>
        <w:rPr>
          <w:rFonts w:ascii="Open Sans" w:cs="Open Sans" w:eastAsia="Open Sans" w:hAnsi="Open Sans"/>
        </w:rPr>
        <w:t xml:space="preserve"/>
      </w:r>
    </w:p>
    <w:p>
      <w:pPr>
        <w:spacing w:after="120" w:before="280"/>
      </w:pPr>
      <w:r>
        <w:rPr>
          <w:rFonts w:ascii="Montserrat" w:cs="Montserrat" w:eastAsia="Montserrat" w:hAnsi="Montserrat"/>
          <w:b/>
          <w:bCs/>
          <w:color w:val="333333"/>
          <w:sz w:val="24"/>
          <w:szCs w:val="24"/>
        </w:rPr>
        <w:t xml:space="preserve">Pillar 1 — Sign-Up Centered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080"/>
        <w:gridCol w:w="4100"/>
        <w:gridCol w:w="2500"/>
      </w:tblGrid>
      <w:tr>
        <w:tc>
          <w:tcPr>
            <w:tcW w:type="dxa" w:w="68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P</w:t>
            </w:r>
          </w:p>
        </w:tc>
        <w:tc>
          <w:tcPr>
            <w:tcW w:type="dxa" w:w="208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Feature</w:t>
            </w:r>
          </w:p>
        </w:tc>
        <w:tc>
          <w:tcPr>
            <w:tcW w:type="dxa" w:w="41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Owner</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Qualification-First Sign-Up Entry</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Sign-up CTA is the primary hub call-to-action on page load for all logged-out visitors. Clicking initiates a multi-step qualification flow rather than a segment browsing model. No segment page navigation is required before sign-up entry.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UX (Jay Linder)</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Sign-Up Step 1 — Org Qualification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Collects: org type (mapped to internal segment), state/territory. Org type answers deduce segment routing internally; labels are customer-facing only and decoupled from routing logic. State drives cooperative contract eligibility. Step is JSON/CMS-editable (field labels, help text, org type options, state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Backend (Brendan Bagley)</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Sign-Up Step 2 — Contact Information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Collects: org name, first/last name, role/title, email, phone. Includes optional B2C account linkage field (has existing B&amp;H consumer account? Y/N → email input if yes). All field labels and help text are JSON/CMS-editable. B2C email lookup logic to be scoped with Shia Bernstein / Sam Herman.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Backend</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Sign-Up Step 3 — Review &amp; Submit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Summary of collected information. Displays qualification-derived segment, applicable cooperative contract options (if any), and estimated verification path. Submit triggers account creation workflow. CTA label and supporting copy are JSON/CMS-editable.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Backend</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D&amp;B &amp; Verification Error Recovery</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Human-readable error messaging for all three verification paths: (1) D&amp;B business verification, (2) email domain whitelist, (3) manual review. Error copy (per error code: NO_MATCH, TIMEOUT, DOMAIN_NOT_WHITELISTED, etc.) is JSON/CMS-editable without a dev ticket. Actionable next steps displayed per error 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UX + Backend</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E67300"/>
                <w:sz w:val="20"/>
                <w:szCs w:val="20"/>
              </w:rPr>
              <w:t xml:space="preserve">P1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Contracts / Procurement Intake Forms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Replace the current "email us" CTA on Contracts and eProcurement pages with structured forking intake forms. Forms pre-qualify customers (cooperative known? eProcurement platform? existing contract?), route to correct contact, and reduce misdirected support. Question set owned by Ariel Goldman.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UX + Ariel Goldman</w:t>
            </w:r>
          </w:p>
        </w:tc>
      </w:tr>
    </w:tbl>
    <w:p>
      <w:pPr>
        <w:spacing w:after="0" w:before="160"/>
      </w:pPr>
      <w:r>
        <w:rPr>
          <w:rFonts w:ascii="Open Sans" w:cs="Open Sans" w:eastAsia="Open Sans" w:hAnsi="Open Sans"/>
        </w:rPr>
        <w:t xml:space="preserve"/>
      </w:r>
    </w:p>
    <w:p>
      <w:pPr>
        <w:spacing w:after="120" w:before="280"/>
      </w:pPr>
      <w:r>
        <w:rPr>
          <w:rFonts w:ascii="Montserrat" w:cs="Montserrat" w:eastAsia="Montserrat" w:hAnsi="Montserrat"/>
          <w:b/>
          <w:bCs/>
          <w:color w:val="333333"/>
          <w:sz w:val="24"/>
          <w:szCs w:val="24"/>
        </w:rPr>
        <w:t xml:space="preserve">Pillar 2 — JSON Content Control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080"/>
        <w:gridCol w:w="4100"/>
        <w:gridCol w:w="2500"/>
      </w:tblGrid>
      <w:tr>
        <w:tc>
          <w:tcPr>
            <w:tcW w:type="dxa" w:w="68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P</w:t>
            </w:r>
          </w:p>
        </w:tc>
        <w:tc>
          <w:tcPr>
            <w:tcW w:type="dxa" w:w="208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Feature</w:t>
            </w:r>
          </w:p>
        </w:tc>
        <w:tc>
          <w:tcPr>
            <w:tcW w:type="dxa" w:w="41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Owner</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JSON Configuration Layer — Hub &amp; Segment Pages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All hub home, segment landing page, and sign-up flow content is driven by a JSON config file rather than hard-coded strings. Config keys cover: hero headline, subheadline, body copy, CTA labels, benefit bullets, FAQ items, SEO meta fields. Changes take effect on the next build/deploy without code 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Frontend Eng</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JSON Configuration Layer — Contract Pages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All cooperative contract page content (name, logo, blurb, contract number, eligibility states, primary CTA URL, secondary CTA URL) is driven by JSON config entities. Adding a new contract or updating a contract listing requires only a JSON config change — no code change.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Frontend Eng</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CMS Lite Admin Panel — Content Editor</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 browser-based admin interface (initially React prototype, production equivalent) that reads and writes the JSON config layer. Three-group sidebar: Hub Home, Segment Pages, Contract Pages. Authorized operators (Ariel Goldman, Josh Bernstein) can edit fields, preview changes, and publish without developer involvement.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Frontend Eng</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Draft / Publish Workflow</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Changes saved as draft do not affect the live site. A publish action (Ariel Goldman or authorized operator) pushes changes live. Audit log records all changes with author, timestamp, and field delta. Prevents accidental live edits.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Backend Eng (Brendan Bagley)</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P0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BDBTools Read-Only Integration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The existing B2B Portal Management Tool (~280–400 parameters per portal) is preserved as read-only in Phase 1. The JSON/CMS layer wraps above it and does not replace it. Portal parameter management remains in BDBTools. The CMS exposes only content-layer fields.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Backend (Brendan Bagley + Sam Herman)</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E67300"/>
                <w:sz w:val="20"/>
                <w:szCs w:val="20"/>
              </w:rPr>
              <w:t xml:space="preserve">P1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Role-Based Access — CMS</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Editor role: can edit fields and save drafts, cannot publish. Publisher role (Ariel Goldman, designated operators): can publish live. Admin role: can manage users and role assignments. Manny approval gate for customer-facing changes: no customer-facing publish without designated approver sign-off.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Backend Eng</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E67300"/>
                <w:sz w:val="20"/>
                <w:szCs w:val="20"/>
              </w:rPr>
              <w:t xml:space="preserve">P1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State / Contract Routing Configuration</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Move state-to-contract-to-portal routing logic from hard-coded to JSON-configurable. New state/contract associations can be added via CMS without a code change. Two routing options to be mocked for stakeholder comparison: (A) routing managed in new CMS tool, (B) routing remains in BDBTools.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Backend Eng + Product</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E67300"/>
                <w:sz w:val="20"/>
                <w:szCs w:val="20"/>
              </w:rPr>
              <w:t xml:space="preserve">P1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SEO Field Management</w:t>
            </w:r>
          </w:p>
        </w:tc>
        <w:tc>
          <w:tcPr>
            <w:tcW w:type="dxa" w:w="4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All hub and segment pages expose editable SEO fields in the JSON config: meta title, meta description, OG title, OG description, canonical URL, robots directives. Editable via CMS admin panel without a dev ticket.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Product + SEO</w:t>
            </w:r>
          </w:p>
        </w:tc>
      </w:tr>
    </w:tbl>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6. Scope</w:t>
      </w:r>
    </w:p>
    <w:p>
      <w:pPr>
        <w:spacing w:after="120" w:before="280"/>
      </w:pPr>
      <w:r>
        <w:rPr>
          <w:rFonts w:ascii="Montserrat" w:cs="Montserrat" w:eastAsia="Montserrat" w:hAnsi="Montserrat"/>
          <w:b/>
          <w:bCs/>
          <w:color w:val="333333"/>
          <w:sz w:val="24"/>
          <w:szCs w:val="24"/>
        </w:rPr>
        <w:t xml:space="preserve">6.1  In Scope — Phase 1</w:t>
      </w:r>
    </w:p>
    <w:p>
      <w:pPr>
        <w:pStyle w:val="ListParagraph"/>
        <w:numPr>
          <w:ilvl w:val="0"/>
          <w:numId w:val="2"/>
        </w:numPr>
        <w:spacing w:after="40" w:before="40"/>
      </w:pPr>
      <w:r>
        <w:rPr>
          <w:rFonts w:ascii="Open Sans" w:cs="Open Sans" w:eastAsia="Open Sans" w:hAnsi="Open Sans"/>
        </w:rPr>
        <w:t xml:space="preserve">JSON configuration layer for all hub, segment, sign-up flow, and contract page content (14+ config keys per page group).</w:t>
      </w:r>
    </w:p>
    <w:p>
      <w:pPr>
        <w:pStyle w:val="ListParagraph"/>
        <w:numPr>
          <w:ilvl w:val="0"/>
          <w:numId w:val="2"/>
        </w:numPr>
        <w:spacing w:after="40" w:before="40"/>
      </w:pPr>
      <w:r>
        <w:rPr>
          <w:rFonts w:ascii="Open Sans" w:cs="Open Sans" w:eastAsia="Open Sans" w:hAnsi="Open Sans"/>
        </w:rPr>
        <w:t xml:space="preserve">CMS Lite admin panel — three-group sidebar, field editor, draft/publish workflow, audit log.</w:t>
      </w:r>
    </w:p>
    <w:p>
      <w:pPr>
        <w:pStyle w:val="ListParagraph"/>
        <w:numPr>
          <w:ilvl w:val="0"/>
          <w:numId w:val="2"/>
        </w:numPr>
        <w:spacing w:after="40" w:before="40"/>
      </w:pPr>
      <w:r>
        <w:rPr>
          <w:rFonts w:ascii="Open Sans" w:cs="Open Sans" w:eastAsia="Open Sans" w:hAnsi="Open Sans"/>
        </w:rPr>
        <w:t xml:space="preserve">12 segment landing pages driven by JSON config.</w:t>
      </w:r>
    </w:p>
    <w:p>
      <w:pPr>
        <w:pStyle w:val="ListParagraph"/>
        <w:numPr>
          <w:ilvl w:val="0"/>
          <w:numId w:val="2"/>
        </w:numPr>
        <w:spacing w:after="40" w:before="40"/>
      </w:pPr>
      <w:r>
        <w:rPr>
          <w:rFonts w:ascii="Open Sans" w:cs="Open Sans" w:eastAsia="Open Sans" w:hAnsi="Open Sans"/>
        </w:rPr>
        <w:t xml:space="preserve">9 cooperative contract portal pages driven by JSON config entities.</w:t>
      </w:r>
    </w:p>
    <w:p>
      <w:pPr>
        <w:pStyle w:val="ListParagraph"/>
        <w:numPr>
          <w:ilvl w:val="0"/>
          <w:numId w:val="2"/>
        </w:numPr>
        <w:spacing w:after="40" w:before="40"/>
      </w:pPr>
      <w:r>
        <w:rPr>
          <w:rFonts w:ascii="Open Sans" w:cs="Open Sans" w:eastAsia="Open Sans" w:hAnsi="Open Sans"/>
        </w:rPr>
        <w:t xml:space="preserve">Qualification-first sign-up flow (Steps 1–3): org type/state, contact info, review/submit.</w:t>
      </w:r>
    </w:p>
    <w:p>
      <w:pPr>
        <w:pStyle w:val="ListParagraph"/>
        <w:numPr>
          <w:ilvl w:val="0"/>
          <w:numId w:val="2"/>
        </w:numPr>
        <w:spacing w:after="40" w:before="40"/>
      </w:pPr>
      <w:r>
        <w:rPr>
          <w:rFonts w:ascii="Open Sans" w:cs="Open Sans" w:eastAsia="Open Sans" w:hAnsi="Open Sans"/>
        </w:rPr>
        <w:t xml:space="preserve">B2C account linkage field in Step 2 (hasB2CAccount, b2cEmail — B2C lookup logic scoping with Shia/Sam Herman pending).</w:t>
      </w:r>
    </w:p>
    <w:p>
      <w:pPr>
        <w:pStyle w:val="ListParagraph"/>
        <w:numPr>
          <w:ilvl w:val="0"/>
          <w:numId w:val="2"/>
        </w:numPr>
        <w:spacing w:after="40" w:before="40"/>
      </w:pPr>
      <w:r>
        <w:rPr>
          <w:rFonts w:ascii="Open Sans" w:cs="Open Sans" w:eastAsia="Open Sans" w:hAnsi="Open Sans"/>
        </w:rPr>
        <w:t xml:space="preserve">D&amp;B and verification error messaging improvement — all three paths, CMS-editable error copy.</w:t>
      </w:r>
    </w:p>
    <w:p>
      <w:pPr>
        <w:pStyle w:val="ListParagraph"/>
        <w:numPr>
          <w:ilvl w:val="0"/>
          <w:numId w:val="2"/>
        </w:numPr>
        <w:spacing w:after="40" w:before="40"/>
      </w:pPr>
      <w:r>
        <w:rPr>
          <w:rFonts w:ascii="Open Sans" w:cs="Open Sans" w:eastAsia="Open Sans" w:hAnsi="Open Sans"/>
        </w:rPr>
        <w:t xml:space="preserve">Contracts/Procurement page split with updated copy (Ariel Goldman copy drafted).</w:t>
      </w:r>
    </w:p>
    <w:p>
      <w:pPr>
        <w:pStyle w:val="ListParagraph"/>
        <w:numPr>
          <w:ilvl w:val="0"/>
          <w:numId w:val="2"/>
        </w:numPr>
        <w:spacing w:after="40" w:before="40"/>
      </w:pPr>
      <w:r>
        <w:rPr>
          <w:rFonts w:ascii="Open Sans" w:cs="Open Sans" w:eastAsia="Open Sans" w:hAnsi="Open Sans"/>
        </w:rPr>
        <w:t xml:space="preserve">eProcurement platform list cleanup (remove outdated SAP/Ariba duplicate entries).</w:t>
      </w:r>
    </w:p>
    <w:p>
      <w:pPr>
        <w:pStyle w:val="ListParagraph"/>
        <w:numPr>
          <w:ilvl w:val="0"/>
          <w:numId w:val="2"/>
        </w:numPr>
        <w:spacing w:after="40" w:before="40"/>
      </w:pPr>
      <w:r>
        <w:rPr>
          <w:rFonts w:ascii="Open Sans" w:cs="Open Sans" w:eastAsia="Open Sans" w:hAnsi="Open Sans"/>
        </w:rPr>
        <w:t xml:space="preserve">State-to-contract routing configuration (pending mockup comparison of two options).</w:t>
      </w:r>
    </w:p>
    <w:p>
      <w:pPr>
        <w:pStyle w:val="ListParagraph"/>
        <w:numPr>
          <w:ilvl w:val="0"/>
          <w:numId w:val="2"/>
        </w:numPr>
        <w:spacing w:after="40" w:before="40"/>
      </w:pPr>
      <w:r>
        <w:rPr>
          <w:rFonts w:ascii="Open Sans" w:cs="Open Sans" w:eastAsia="Open Sans" w:hAnsi="Open Sans"/>
        </w:rPr>
        <w:t xml:space="preserve">SEO field management for all pages.</w:t>
      </w:r>
    </w:p>
    <w:p>
      <w:pPr>
        <w:pStyle w:val="ListParagraph"/>
        <w:numPr>
          <w:ilvl w:val="0"/>
          <w:numId w:val="2"/>
        </w:numPr>
        <w:spacing w:after="40" w:before="40"/>
      </w:pPr>
      <w:r>
        <w:rPr>
          <w:rFonts w:ascii="Open Sans" w:cs="Open Sans" w:eastAsia="Open Sans" w:hAnsi="Open Sans"/>
        </w:rPr>
        <w:t xml:space="preserve">GA4 event tagging for sign-up funnel and CMS admin panel (per GA4 Tagging Spec Parts 1–2).</w:t>
      </w:r>
    </w:p>
    <w:p>
      <w:pPr>
        <w:spacing w:after="0" w:before="120"/>
      </w:pPr>
      <w:r>
        <w:rPr>
          <w:rFonts w:ascii="Open Sans" w:cs="Open Sans" w:eastAsia="Open Sans" w:hAnsi="Open Sans"/>
        </w:rPr>
        <w:t xml:space="preserve"/>
      </w:r>
    </w:p>
    <w:p>
      <w:pPr>
        <w:spacing w:after="120" w:before="280"/>
      </w:pPr>
      <w:r>
        <w:rPr>
          <w:rFonts w:ascii="Montserrat" w:cs="Montserrat" w:eastAsia="Montserrat" w:hAnsi="Montserrat"/>
          <w:b/>
          <w:bCs/>
          <w:color w:val="333333"/>
          <w:sz w:val="24"/>
          <w:szCs w:val="24"/>
        </w:rPr>
        <w:t xml:space="preserve">6.2  Quick Wins — Independent of Phase 1 Build (Do Now)</w:t>
      </w:r>
    </w:p>
    <w:p>
      <w:pPr>
        <w:pStyle w:val="ListParagraph"/>
        <w:numPr>
          <w:ilvl w:val="0"/>
          <w:numId w:val="2"/>
        </w:numPr>
        <w:spacing w:after="40" w:before="40"/>
      </w:pPr>
      <w:r>
        <w:rPr>
          <w:rFonts w:ascii="Open Sans" w:cs="Open Sans" w:eastAsia="Open Sans" w:hAnsi="Open Sans"/>
        </w:rPr>
        <w:t xml:space="preserve">Studio Hub GA4 tagging — the Studio page is entirely untagged. Zero analytics exist. Standalone instrumentation task completable immediately. Owner: Jerel Smith + Analytics.</w:t>
      </w:r>
    </w:p>
    <w:p>
      <w:pPr>
        <w:pStyle w:val="ListParagraph"/>
        <w:numPr>
          <w:ilvl w:val="0"/>
          <w:numId w:val="2"/>
        </w:numPr>
        <w:spacing w:after="40" w:before="40"/>
      </w:pPr>
      <w:r>
        <w:rPr>
          <w:rFonts w:ascii="Open Sans" w:cs="Open Sans" w:eastAsia="Open Sans" w:hAnsi="Open Sans"/>
        </w:rPr>
        <w:t xml:space="preserve">SAP/Ariba eProcurement listing correction — can be fixed in the current template as a standalone ticket while Phase 1 build is in progress.</w:t>
      </w:r>
    </w:p>
    <w:p>
      <w:pPr>
        <w:spacing w:after="0" w:before="120"/>
      </w:pPr>
      <w:r>
        <w:rPr>
          <w:rFonts w:ascii="Open Sans" w:cs="Open Sans" w:eastAsia="Open Sans" w:hAnsi="Open Sans"/>
        </w:rPr>
        <w:t xml:space="preserve"/>
      </w:r>
    </w:p>
    <w:p>
      <w:pPr>
        <w:spacing w:after="120" w:before="280"/>
      </w:pPr>
      <w:r>
        <w:rPr>
          <w:rFonts w:ascii="Montserrat" w:cs="Montserrat" w:eastAsia="Montserrat" w:hAnsi="Montserrat"/>
          <w:b/>
          <w:bCs/>
          <w:color w:val="333333"/>
          <w:sz w:val="24"/>
          <w:szCs w:val="24"/>
        </w:rPr>
        <w:t xml:space="preserve">6.3  Out of Scope — Phase 1</w:t>
      </w:r>
    </w:p>
    <w:p>
      <w:pPr>
        <w:pStyle w:val="ListParagraph"/>
        <w:numPr>
          <w:ilvl w:val="0"/>
          <w:numId w:val="2"/>
        </w:numPr>
        <w:spacing w:after="40" w:before="40"/>
      </w:pPr>
      <w:r>
        <w:rPr>
          <w:rFonts w:ascii="Open Sans" w:cs="Open Sans" w:eastAsia="Open Sans" w:hAnsi="Open Sans"/>
        </w:rPr>
        <w:t xml:space="preserve">CMS Lite GUI (full visual admin interface) — Phase 2. Phase 1 uses the JSON config layer and React prototype admin panel.</w:t>
      </w:r>
    </w:p>
    <w:p>
      <w:pPr>
        <w:pStyle w:val="ListParagraph"/>
        <w:numPr>
          <w:ilvl w:val="0"/>
          <w:numId w:val="2"/>
        </w:numPr>
        <w:spacing w:after="40" w:before="40"/>
      </w:pPr>
      <w:r>
        <w:rPr>
          <w:rFonts w:ascii="Open Sans" w:cs="Open Sans" w:eastAsia="Open Sans" w:hAnsi="Open Sans"/>
        </w:rPr>
        <w:t xml:space="preserve">"Add Contract" / "Add Segment" CMS creation capability — Phase 2.</w:t>
      </w:r>
    </w:p>
    <w:p>
      <w:pPr>
        <w:pStyle w:val="ListParagraph"/>
        <w:numPr>
          <w:ilvl w:val="0"/>
          <w:numId w:val="2"/>
        </w:numPr>
        <w:spacing w:after="40" w:before="40"/>
      </w:pPr>
      <w:r>
        <w:rPr>
          <w:rFonts w:ascii="Open Sans" w:cs="Open Sans" w:eastAsia="Open Sans" w:hAnsi="Open Sans"/>
        </w:rPr>
        <w:t xml:space="preserve">In-portal notification system — Phase 2 (depends on CMS audit log and tiered admin).</w:t>
      </w:r>
    </w:p>
    <w:p>
      <w:pPr>
        <w:pStyle w:val="ListParagraph"/>
        <w:numPr>
          <w:ilvl w:val="0"/>
          <w:numId w:val="2"/>
        </w:numPr>
        <w:spacing w:after="40" w:before="40"/>
      </w:pPr>
      <w:r>
        <w:rPr>
          <w:rFonts w:ascii="Open Sans" w:cs="Open Sans" w:eastAsia="Open Sans" w:hAnsi="Open Sans"/>
        </w:rPr>
        <w:t xml:space="preserve">Tiered admin / sub-user management within portals — Phase 2 (no ticket yet; create epic proactively).</w:t>
      </w:r>
    </w:p>
    <w:p>
      <w:pPr>
        <w:pStyle w:val="ListParagraph"/>
        <w:numPr>
          <w:ilvl w:val="0"/>
          <w:numId w:val="2"/>
        </w:numPr>
        <w:spacing w:after="40" w:before="40"/>
      </w:pPr>
      <w:r>
        <w:rPr>
          <w:rFonts w:ascii="Open Sans" w:cs="Open Sans" w:eastAsia="Open Sans" w:hAnsi="Open Sans"/>
        </w:rPr>
        <w:t xml:space="preserve">Full redesign of portal homepage post-login — separate workstream.</w:t>
      </w:r>
    </w:p>
    <w:p>
      <w:pPr>
        <w:pStyle w:val="ListParagraph"/>
        <w:numPr>
          <w:ilvl w:val="0"/>
          <w:numId w:val="2"/>
        </w:numPr>
        <w:spacing w:after="40" w:before="40"/>
      </w:pPr>
      <w:r>
        <w:rPr>
          <w:rFonts w:ascii="Open Sans" w:cs="Open Sans" w:eastAsia="Open Sans" w:hAnsi="Open Sans"/>
        </w:rPr>
        <w:t xml:space="preserve">New My Account platform integration — separate workstream; track alignment with Brendan Bagley.</w:t>
      </w:r>
    </w:p>
    <w:p>
      <w:pPr>
        <w:pStyle w:val="ListParagraph"/>
        <w:numPr>
          <w:ilvl w:val="0"/>
          <w:numId w:val="2"/>
        </w:numPr>
        <w:spacing w:after="40" w:before="40"/>
      </w:pPr>
      <w:r>
        <w:rPr>
          <w:rFonts w:ascii="Open Sans" w:cs="Open Sans" w:eastAsia="Open Sans" w:hAnsi="Open Sans"/>
        </w:rPr>
        <w:t xml:space="preserve">Dead category pages on portal-filtered accounts — long-standing known bug; horizon item.</w:t>
      </w:r>
    </w:p>
    <w:p>
      <w:pPr>
        <w:pStyle w:val="ListParagraph"/>
        <w:numPr>
          <w:ilvl w:val="0"/>
          <w:numId w:val="2"/>
        </w:numPr>
        <w:spacing w:after="40" w:before="40"/>
      </w:pPr>
      <w:r>
        <w:rPr>
          <w:rFonts w:ascii="Open Sans" w:cs="Open Sans" w:eastAsia="Open Sans" w:hAnsi="Open Sans"/>
        </w:rPr>
        <w:t xml:space="preserve">Punchout portal configuration — separate initiative (Steven Galla domain, scope TBD).</w:t>
      </w:r>
    </w:p>
    <w:p>
      <w:pPr>
        <w:pStyle w:val="ListParagraph"/>
        <w:numPr>
          <w:ilvl w:val="0"/>
          <w:numId w:val="2"/>
        </w:numPr>
        <w:spacing w:after="40" w:before="40"/>
      </w:pPr>
      <w:r>
        <w:rPr>
          <w:rFonts w:ascii="Open Sans" w:cs="Open Sans" w:eastAsia="Open Sans" w:hAnsi="Open Sans"/>
        </w:rPr>
        <w:t xml:space="preserve">Industry code-level pricing project — Brendan Bagley / Shia Bernstein alignment pending.</w:t>
      </w:r>
    </w:p>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7. Assumptions &amp; Constraints</w:t>
      </w:r>
    </w:p>
    <w:p>
      <w:pPr>
        <w:spacing w:after="120" w:before="280"/>
      </w:pPr>
      <w:r>
        <w:rPr>
          <w:rFonts w:ascii="Montserrat" w:cs="Montserrat" w:eastAsia="Montserrat" w:hAnsi="Montserrat"/>
          <w:b/>
          <w:bCs/>
          <w:color w:val="333333"/>
          <w:sz w:val="24"/>
          <w:szCs w:val="24"/>
        </w:rPr>
        <w:t xml:space="preserve">7.1  Assumptions</w:t>
      </w:r>
    </w:p>
    <w:p>
      <w:pPr>
        <w:pStyle w:val="ListParagraph"/>
        <w:numPr>
          <w:ilvl w:val="0"/>
          <w:numId w:val="2"/>
        </w:numPr>
        <w:spacing w:after="40" w:before="40"/>
      </w:pPr>
      <w:r>
        <w:rPr>
          <w:rFonts w:ascii="Open Sans" w:cs="Open Sans" w:eastAsia="Open Sans" w:hAnsi="Open Sans"/>
        </w:rPr>
        <w:t xml:space="preserve">Qualification-first sign-up model is the confirmed Phase 1 direction, validated with Ariel Goldman. No further research validation gate required before design lock.</w:t>
      </w:r>
    </w:p>
    <w:p>
      <w:pPr>
        <w:pStyle w:val="ListParagraph"/>
        <w:numPr>
          <w:ilvl w:val="0"/>
          <w:numId w:val="2"/>
        </w:numPr>
        <w:spacing w:after="40" w:before="40"/>
      </w:pPr>
      <w:r>
        <w:rPr>
          <w:rFonts w:ascii="Open Sans" w:cs="Open Sans" w:eastAsia="Open Sans" w:hAnsi="Open Sans"/>
        </w:rPr>
        <w:t xml:space="preserve">BDBTools (~280–400 parameters per portal, ~60 defunct) is preserved as read-only in Phase 1. The JSON/CMS layer wraps above it.</w:t>
      </w:r>
    </w:p>
    <w:p>
      <w:pPr>
        <w:pStyle w:val="ListParagraph"/>
        <w:numPr>
          <w:ilvl w:val="0"/>
          <w:numId w:val="2"/>
        </w:numPr>
        <w:spacing w:after="40" w:before="40"/>
      </w:pPr>
      <w:r>
        <w:rPr>
          <w:rFonts w:ascii="Open Sans" w:cs="Open Sans" w:eastAsia="Open Sans" w:hAnsi="Open Sans"/>
        </w:rPr>
        <w:t xml:space="preserve">Manny's approval is required before any customer-facing changes go live. Manny is unavailable until approximately May 2026. Phase 1 customer-facing launch is gated on this.</w:t>
      </w:r>
    </w:p>
    <w:p>
      <w:pPr>
        <w:pStyle w:val="ListParagraph"/>
        <w:numPr>
          <w:ilvl w:val="0"/>
          <w:numId w:val="2"/>
        </w:numPr>
        <w:spacing w:after="40" w:before="40"/>
      </w:pPr>
      <w:r>
        <w:rPr>
          <w:rFonts w:ascii="Open Sans" w:cs="Open Sans" w:eastAsia="Open Sans" w:hAnsi="Open Sans"/>
        </w:rPr>
        <w:t xml:space="preserve">Ariel Goldman has direct publish rights in the CMS prototype and production equivalent. Josh Bernstein has submit-only (draft) access.</w:t>
      </w:r>
    </w:p>
    <w:p>
      <w:pPr>
        <w:pStyle w:val="ListParagraph"/>
        <w:numPr>
          <w:ilvl w:val="0"/>
          <w:numId w:val="2"/>
        </w:numPr>
        <w:spacing w:after="40" w:before="40"/>
      </w:pPr>
      <w:r>
        <w:rPr>
          <w:rFonts w:ascii="Open Sans" w:cs="Open Sans" w:eastAsia="Open Sans" w:hAnsi="Open Sans"/>
        </w:rPr>
        <w:t xml:space="preserve">Brendan Bagley co-owns all backend CMS and portal parameter requirements. Close FE/BE PM alignment required.</w:t>
      </w:r>
    </w:p>
    <w:p>
      <w:pPr>
        <w:pStyle w:val="ListParagraph"/>
        <w:numPr>
          <w:ilvl w:val="0"/>
          <w:numId w:val="2"/>
        </w:numPr>
        <w:spacing w:after="40" w:before="40"/>
      </w:pPr>
      <w:r>
        <w:rPr>
          <w:rFonts w:ascii="Open Sans" w:cs="Open Sans" w:eastAsia="Open Sans" w:hAnsi="Open Sans"/>
        </w:rPr>
        <w:t xml:space="preserve">Ariel Goldman and the B2B business team will participate in CMS UAT and sign off before launch.</w:t>
      </w:r>
    </w:p>
    <w:p>
      <w:pPr>
        <w:pStyle w:val="ListParagraph"/>
        <w:numPr>
          <w:ilvl w:val="0"/>
          <w:numId w:val="2"/>
        </w:numPr>
        <w:spacing w:after="40" w:before="40"/>
      </w:pPr>
      <w:r>
        <w:rPr>
          <w:rFonts w:ascii="Open Sans" w:cs="Open Sans" w:eastAsia="Open Sans" w:hAnsi="Open Sans"/>
        </w:rPr>
        <w:t xml:space="preserve">The architect session scheduled April 14 (Sam Herman, Shia Bernstein, Simon Lefkowitz, Yoel Porgesz, Meilech Hiller) will finalize the portalId/portalName field model and backend data contract for JSON-to-portal entity linking.</w:t>
      </w:r>
    </w:p>
    <w:p>
      <w:pPr>
        <w:spacing w:after="0" w:before="120"/>
      </w:pPr>
      <w:r>
        <w:rPr>
          <w:rFonts w:ascii="Open Sans" w:cs="Open Sans" w:eastAsia="Open Sans" w:hAnsi="Open Sans"/>
        </w:rPr>
        <w:t xml:space="preserve"/>
      </w:r>
    </w:p>
    <w:p>
      <w:pPr>
        <w:spacing w:after="120" w:before="280"/>
      </w:pPr>
      <w:r>
        <w:rPr>
          <w:rFonts w:ascii="Montserrat" w:cs="Montserrat" w:eastAsia="Montserrat" w:hAnsi="Montserrat"/>
          <w:b/>
          <w:bCs/>
          <w:color w:val="333333"/>
          <w:sz w:val="24"/>
          <w:szCs w:val="24"/>
        </w:rPr>
        <w:t xml:space="preserve">7.2  Constraints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Risk</w:t>
            </w:r>
          </w:p>
        </w:tc>
        <w:tc>
          <w:tcPr>
            <w:tcW w:type="dxa" w:w="368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Description</w:t>
            </w:r>
          </w:p>
        </w:tc>
        <w:tc>
          <w:tcPr>
            <w:tcW w:type="dxa" w:w="328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Manny Approval Gate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Customer-facing changes require Manny sign-off. Manny unavailable until ~May 2026, gating Phase 1 launch window.</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Use pre-Manny period to complete JSON layer and CMS panel build. Schedule customer-facing review for May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Existing-Customer Routing (PMO 5000)</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Routing decision for existing customers is unresolved and architecturally blocked. Current lean: leave existing customers as-is; apply new routing logic to new sign-ups only. Not formally closed.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Apply new sign-up routing logic to new accounts only in Phase 1. Existing customers unaffected. Escalate PMO 5000 resolution to Shia Bernstein + Brendan Bagley.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B2C Account Lookup Scope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B2C email lookup logic in Step 2 of sign-up requires backend scoping. Complexity and feasibility not yet confirmed.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Scope with Shia Bernstein / Sam Herman before backend build begins. Field renders in UI regardless; lookup logic can be deferred to P1.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State/Contract Routing Ownership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Two options for where state routing config lives (new CMS tool vs. BDBTools) have not been decided. Affects architect session scope.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Mock up both options before architect session (April 14). Stakeholder comparison drives decision.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Backend Complexity Underestimated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~350 portal parameters in legacy tool. JSON layer integration scope may expand once Brendan Bagley's team assesses the data model.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Timebox Phase 1 to content-layer only. Defer full portal parameter integration to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Stakeholder Bandwidth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Ariel Goldman's team manages 20–30 active integrations. UAT and review cycles may be slower than planned.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Set realistic review SLAs. Schedule dedicated UAT windows in advance.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GA4 Measurement ID Pending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GA4 Measurement ID not yet obtained. Ensighten tag rule additions pending.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Parallel-track: Jerel Smith + Analytics team to obtain Measurement ID and coordinate Ensighten rules. Non-blocking for build.</w:t>
            </w:r>
          </w:p>
        </w:tc>
      </w:tr>
    </w:tbl>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8. Phase 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360"/>
        <w:gridCol w:w="1200"/>
      </w:tblGrid>
      <w:tr>
        <w:tc>
          <w:tcPr>
            <w:tcW w:type="dxa" w:w="2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Timeframe</w:t>
            </w:r>
          </w:p>
        </w:tc>
        <w:tc>
          <w:tcPr>
            <w:tcW w:type="dxa" w:w="43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Deliverables</w:t>
            </w:r>
          </w:p>
        </w:tc>
        <w:tc>
          <w:tcPr>
            <w:tcW w:type="dxa" w:w="12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Discovery &amp; Research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Complete — Q1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UX research, stakeholder interviews, analytics analysis, IA validation, qualification-first pattern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F9A59"/>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Prototype &amp; CMS Panel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Feb – Apr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React/Vite prototype deployed to GitHub Pages; 12 segment pages, 9 contract pages, 3-step sign-up flow; CMS admin panel with draft/publish; GA4 tagging spec 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F9A59"/>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Architecture Design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 14,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Architect session: portalId/portalName field model, JSON-to-portal entity data contract, state/contract routing option comparison (CMS vs. BDBTools), B2C email lookup feasibility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E67300"/>
                <w:sz w:val="20"/>
                <w:szCs w:val="20"/>
              </w:rPr>
              <w:t xml:space="preserve">Scheduled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Development — JSON Layer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 – Jun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JSON config layer for all pages; CMS admin panel (production equivalent); draft/publish workflow; role-based access; BDBTools read-only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Development — Sign-Up UX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May – Jul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Qualification-first sign-up flow (production); D&amp;B error messaging; contracts/procurement page split; state routing config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Manny Review Gate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May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Customer-facing change review and approval. Gate for all acquisition-facing content changes going live.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990000"/>
                <w:sz w:val="20"/>
                <w:szCs w:val="20"/>
              </w:rPr>
              <w:t xml:space="preserve">Gated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UAT &amp; Stakeholder Review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Late Jul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B2B team UAT (Ariel Goldman, Josh Bernstein); SEO review; accessibility audit; GA4 event validation; performance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August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JSON Content Layer + Qualification-First Sign-Up go-live. Metrics dashboard live at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Not Started</w:t>
            </w:r>
          </w:p>
        </w:tc>
      </w:tr>
    </w:tbl>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9. Stakeholders &amp;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1600"/>
        <w:gridCol w:w="1600"/>
        <w:gridCol w:w="1200"/>
      </w:tblGrid>
      <w:tr>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Name / Role</w:t>
            </w:r>
          </w:p>
        </w:tc>
        <w:tc>
          <w:tcPr>
            <w:tcW w:type="dxa" w:w="296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Area of Ownership</w:t>
            </w:r>
          </w:p>
        </w:tc>
        <w:tc>
          <w:tcPr>
            <w:tcW w:type="dxa" w:w="2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JSON / CMS</w:t>
            </w:r>
          </w:p>
        </w:tc>
        <w:tc>
          <w:tcPr>
            <w:tcW w:type="dxa" w:w="20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Sign-Up UX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Jerel Smith — B2B PM (FE)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Hub, segment &amp; contract pages, sign-up 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Responsible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Responsible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Brendan Bagley — B2B PM (BE)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Backend CMS data model, portal parameter integration, B2C lookup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Responsible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Ariel Goldman — B2B Business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Content strategy, contract data, UAT, publish authority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Accountable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Accountable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Jay Linder — UX Designer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Hub and CMS operator UX design, sign-up flow wireframes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Responsible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Sam Herman — Portal Tool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BDBTools, portal parameter model, portalId entity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Shia Bernstein — Tech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Portal management architecture, PMO 5000, routing logic, B2C lookup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Manny — Senior Stakeholder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Customer-facing change approval (unavailable until ~May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Approver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Approver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Josh Bernstein — Project Mgmt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Sprint coordination, CMS submit-only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Efraim Rosen — PM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Project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Ceren Ozgul — Exec Sponsor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Strategic alignment, prioritization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Architecture Team (Simon, Yoel, Meilech, Sam)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Technical feasibility, data model review, architect sessions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Consulted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b/>
                <w:bCs/>
                <w:color w:val="333333"/>
                <w:sz w:val="20"/>
                <w:szCs w:val="20"/>
              </w:rPr>
              <w:t xml:space="preserve">Danielo Garcia — Studio Manager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Studio Hub content, GA4 tagging quick 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Informed</w:t>
            </w:r>
          </w:p>
        </w:tc>
      </w:tr>
    </w:tbl>
    <w:p>
      <w:r>
        <w:br w:type="page"/>
      </w:r>
    </w:p>
    <w:p>
      <w:pPr>
        <w:pBdr>
          <w:bottom w:val="single" w:color="990000" w:sz="4" w:space="4"/>
        </w:pBdr>
        <w:spacing w:after="160" w:before="360"/>
      </w:pPr>
      <w:r>
        <w:rPr>
          <w:rFonts w:ascii="Montserrat" w:cs="Montserrat" w:eastAsia="Montserrat" w:hAnsi="Montserrat"/>
          <w:b/>
          <w:bCs/>
          <w:color w:val="990000"/>
          <w:sz w:val="28"/>
          <w:szCs w:val="28"/>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040"/>
        <w:gridCol w:w="2400"/>
        <w:gridCol w:w="2400"/>
      </w:tblGrid>
      <w:tr>
        <w:tc>
          <w:tcPr>
            <w:tcW w:type="dxa" w:w="52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w:t>
            </w:r>
          </w:p>
        </w:tc>
        <w:tc>
          <w:tcPr>
            <w:tcW w:type="dxa" w:w="404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Question</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Owner</w:t>
            </w:r>
          </w:p>
        </w:tc>
        <w:tc>
          <w:tcPr>
            <w:tcW w:type="dxa" w:w="2400"/>
            <w:tcBorders>
              <w:top w:val="single" w:color="CCCCCC" w:sz="1"/>
              <w:left w:val="single" w:color="CCCCCC" w:sz="1"/>
              <w:bottom w:val="single" w:color="CCCCCC" w:sz="1"/>
              <w:right w:val="single" w:color="CCCCCC" w:sz="1"/>
            </w:tcBorders>
            <w:shd w:fill="990000" w:val="clear"/>
            <w:tcMar>
              <w:top w:type="dxa" w:w="80"/>
              <w:left w:type="dxa" w:w="120"/>
              <w:bottom w:type="dxa" w:w="80"/>
              <w:right w:type="dxa" w:w="120"/>
            </w:tcMar>
          </w:tcPr>
          <w:p>
            <w:pPr>
              <w:spacing w:after="40" w:before="40"/>
            </w:pPr>
            <w:r>
              <w:rPr>
                <w:rFonts w:ascii="Open Sans" w:cs="Open Sans" w:eastAsia="Open Sans" w:hAnsi="Open Sans"/>
                <w:b/>
                <w:bCs/>
                <w:color w:val="FFFFFF"/>
                <w:sz w:val="20"/>
                <w:szCs w:val="20"/>
              </w:rPr>
              <w:t xml:space="preserve">Target Date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1</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State/contract routing location — CMS tool or BDBTools? Mock up both options for stakeholder comparison. Decision gates architect session (April 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Jerel Smith + Shia Bernstein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April 14,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2</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portalId and portalName field model — confirm entity structure and data contract for JSON-to-portal linking before architect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Jerel Smith + Sam Herman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April 14,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3</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B2C account email lookup logic — is D2C account lookup from the sign-up flow technically feasible in Phase 1? What is the backend dependency? Scope with Shia Bernstein / Sam Herman.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Brendan Bagley + Shia Bernstein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May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4</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Existing-customer routing (PMO 5000) — formally close the decision: leave existing customers as-is, apply new routing only to new sign-ups. Who has authority to close this?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Shia Bernstein + Brendan Bagley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April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5</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GA4 Measurement ID — not yet obtained. Who is the analytics implementation owner? Can Ensighten tag rule additions be added as a standalone ticket now?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Jerel Smith + Analytics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April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6</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Contracts/procurement intake form — who owns the qualifying question set? Ariel Goldman confirmed value. No Jira ticket exists — create epic before sprint planning.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Jerel Smith + Ariel Goldman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April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7</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Omnia/nonprofit edge case — Omnia is valid for some nonprofits but not surfaced in the nonprofit segment. Is this intentional? What routing rule applies after qualification?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Ariel Goldman + Shia Bernstein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May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8</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CMS authentication — leverage existing B&amp;H admin infrastructure or standalone system? Architect session April 14 should surface recommendation.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Architecture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April 14, 2026</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9</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Industry code-level pricing project (in progress on backend) — any dependencies or conflicts with the JSON/CMS routing rules layer? Who owns alignment?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Brendan Bagley + Shia Bernstein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Open Sans" w:cs="Open Sans" w:eastAsia="Open Sans" w:hAnsi="Open Sans"/>
                <w:sz w:val="20"/>
                <w:szCs w:val="20"/>
              </w:rPr>
              <w:t xml:space="preserve">May 2026</w:t>
            </w:r>
          </w:p>
        </w:tc>
      </w:tr>
    </w:tbl>
    <w:p>
      <w:pPr>
        <w:spacing w:after="0" w:before="400"/>
      </w:pPr>
      <w:r>
        <w:rPr>
          <w:rFonts w:ascii="Open Sans" w:cs="Open Sans" w:eastAsia="Open Sans" w:hAnsi="Open Sans"/>
        </w:rPr>
        <w:t xml:space="preserve"/>
      </w:r>
    </w:p>
    <w:p>
      <w:pPr>
        <w:spacing w:after="0" w:before="480"/>
        <w:jc w:val="center"/>
      </w:pPr>
      <w:r>
        <w:rPr>
          <w:rFonts w:ascii="Open Sans" w:cs="Open Sans" w:eastAsia="Open Sans" w:hAnsi="Open Sans"/>
          <w:i/>
          <w:iCs/>
          <w:color w:val="666666"/>
          <w:sz w:val="16"/>
          <w:szCs w:val="16"/>
        </w:rPr>
        <w:t xml:space="preserve">B&amp;H Photo Video Pro Audio  ·  B2B Product Management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Open Sans" w:cs="Open Sans" w:eastAsia="Open Sans" w:hAnsi="Open Sans"/>
        <w:color w:val="666666"/>
        <w:sz w:val="16"/>
        <w:szCs w:val="16"/>
      </w:rPr>
      <w:t xml:space="preserve">B&amp;H Photo Video Pro Audio  ·  Internal Use Only</w:t>
    </w:r>
    <w:r>
      <w:rPr>
        <w:rFonts w:ascii="Open Sans" w:cs="Open Sans" w:eastAsia="Open Sans" w:hAnsi="Open Sans"/>
      </w:rPr>
      <w:t xml:space="preserve">	</w:t>
    </w:r>
    <w:r>
      <w:rPr>
        <w:rFonts w:ascii="Open Sans" w:cs="Open Sans" w:eastAsia="Open Sans" w:hAnsi="Open Sans"/>
        <w:color w:val="666666"/>
        <w:sz w:val="16"/>
        <w:szCs w:val="16"/>
      </w:rPr>
      <w:t xml:space="preserve">Page </w:t>
    </w:r>
    <w:r>
      <w:rPr>
        <w:rFonts w:ascii="Open Sans" w:cs="Open Sans" w:eastAsia="Open Sans" w:hAnsi="Open San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tabs>
        <w:tab w:val="right" w:pos="9026"/>
      </w:tabs>
    </w:pPr>
    <w:r>
      <w:rPr>
        <w:rFonts w:ascii="Open Sans" w:cs="Open Sans" w:eastAsia="Open Sans" w:hAnsi="Open Sans"/>
        <w:color w:val="666666"/>
        <w:sz w:val="16"/>
        <w:szCs w:val="16"/>
      </w:rPr>
      <w:t xml:space="preserve">B2B Hub Modernization — Phase 1 PRD v3.0</w:t>
    </w:r>
    <w:r>
      <w:rPr>
        <w:rFonts w:ascii="Open Sans" w:cs="Open Sans" w:eastAsia="Open Sans" w:hAnsi="Open Sans"/>
      </w:rPr>
      <w:t xml:space="preserve">	</w:t>
    </w:r>
    <w:r>
      <w:rPr>
        <w:rFonts w:ascii="Open Sans" w:cs="Open Sans" w:eastAsia="Open Sans" w:hAnsi="Open Sans"/>
        <w:b/>
        <w:bCs/>
        <w:color w:val="99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2026-04-13T21:06:59.689Z</dcterms:created>
  <dcterms:modified xsi:type="dcterms:W3CDTF">2026-04-13T21:06:59.691Z</dcterms:modified>
</cp:coreProperties>
</file>

<file path=docProps/custom.xml><?xml version="1.0" encoding="utf-8"?>
<Properties xmlns="http://schemas.openxmlformats.org/officeDocument/2006/custom-properties" xmlns:vt="http://schemas.openxmlformats.org/officeDocument/2006/docPropsVTypes"/>
</file>