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F4B"/>
          <w:sz w:val="36"/>
          <w:szCs w:val="36"/>
        </w:rPr>
        <w:t xml:space="preserve">Used Department — Ticket Grooming Session</w:t>
      </w:r>
    </w:p>
    <w:p>
      <w:pPr>
        <w:spacing w:after="40"/>
      </w:pPr>
      <w:r>
        <w:rPr>
          <w:color w:val="555555"/>
          <w:sz w:val="22"/>
          <w:szCs w:val="22"/>
        </w:rPr>
        <w:t xml:space="preserve">Meeting Notes — August 19, 2026, 3:06 PM</w:t>
      </w:r>
    </w:p>
    <w:p>
      <w:pPr>
        <w:spacing w:after="200"/>
      </w:pPr>
      <w:r>
        <w:rPr>
          <w:i/>
          <w:iCs/>
          <w:color w:val="888888"/>
          <w:sz w:val="20"/>
          <w:szCs w:val="20"/>
        </w:rPr>
        <w:t xml:space="preserve">Source: auto-transcribed voice recording (Aug_19_at_3-06_PM)</w:t>
      </w:r>
    </w:p>
    <w:p>
      <w:pPr>
        <w:spacing w:after="160"/>
      </w:pPr>
      <w:r>
        <w:rPr>
          <w:i/>
          <w:iCs/>
          <w:color w:val="666666"/>
          <w:sz w:val="20"/>
          <w:szCs w:val="20"/>
        </w:rPr>
        <w:t xml:space="preserve">Note on source: This transcript has no speaker labels/diarization and contains heavy auto-transcription garbling (mangled names, dropped words, filler speech). Participants appear to include Jerel (PM) and at least one stakeholder consistent with Isaac Mittelman's role/voice on scope and prioritization, alongside UX/Discovery collaborators. Individual lines could not be reliably attributed to specific speakers, so this summary is organized by topic rather than by speaker. Please flag any misread details for correction.</w:t>
      </w:r>
    </w:p>
    <w:p>
      <w:pPr>
        <w:pStyle w:val="Heading1"/>
        <w:pBdr>
          <w:bottom w:val="single" w:color="C8993A" w:sz="8" w:space="4"/>
        </w:pBdr>
        <w:spacing w:after="150" w:before="300"/>
      </w:pPr>
      <w:r>
        <w:rPr>
          <w:b/>
          <w:bCs/>
          <w:color w:val="0F1F4B"/>
          <w:sz w:val="28"/>
          <w:szCs w:val="28"/>
        </w:rPr>
        <w:t xml:space="preserve">Executive Summary</w:t>
      </w:r>
    </w:p>
    <w:p>
      <w:pPr>
        <w:spacing w:after="120"/>
      </w:pPr>
      <w:r>
        <w:rPr>
          <w:i w:val="false"/>
          <w:iCs w:val="false"/>
          <w:sz w:val="22"/>
          <w:szCs w:val="22"/>
        </w:rPr>
        <w:t xml:space="preserve">This was a ticket-grooming session covering four active workstreams in the Used/Buy-Used and Studio B2B space:</w:t>
      </w:r>
    </w:p>
    <w:p>
      <w:pPr>
        <w:pStyle w:val="ListParagraph"/>
        <w:numPr>
          <w:ilvl w:val="0"/>
          <w:numId w:val="2"/>
        </w:numPr>
        <w:spacing w:after="60"/>
      </w:pPr>
      <w:r>
        <w:rPr>
          <w:sz w:val="22"/>
          <w:szCs w:val="22"/>
        </w:rPr>
        <w:t xml:space="preserve">Highlight Refinement enhancement — designing a guided, step-by-step ("stepper"/questionnaire-style) refinement flow for PDP/listing pages, inspired by REI and Crutchfield-style guided selling, including skip-logic when a refinement has no valid options.</w:t>
      </w:r>
    </w:p>
    <w:p>
      <w:pPr>
        <w:pStyle w:val="ListParagraph"/>
        <w:numPr>
          <w:ilvl w:val="0"/>
          <w:numId w:val="2"/>
        </w:numPr>
        <w:spacing w:after="60"/>
      </w:pPr>
      <w:r>
        <w:rPr>
          <w:sz w:val="22"/>
          <w:szCs w:val="22"/>
        </w:rPr>
        <w:t xml:space="preserve">Unified Search / New-Used listing page consolidation — removing the separate "Shop Used" dropdown and duplicated top-of-page refinements in favor of New/Used tabs on a single search results page (REI-inspired), plus a possible "scoped search" chip for used, and extending the My Camera tool to used inventory.</w:t>
      </w:r>
    </w:p>
    <w:p>
      <w:pPr>
        <w:pStyle w:val="ListParagraph"/>
        <w:numPr>
          <w:ilvl w:val="0"/>
          <w:numId w:val="2"/>
        </w:numPr>
        <w:spacing w:after="60"/>
      </w:pPr>
      <w:r>
        <w:rPr>
          <w:sz w:val="22"/>
          <w:szCs w:val="22"/>
        </w:rPr>
        <w:t xml:space="preserve">Studio B2B consultative-services awareness on the PDP — surfacing high-value B2B customers (roughly $500K+ budget or high-ticket items) to Studio's consultative services in-context on the PDP, with a lead-capture form rather than routing to a separate landing page.</w:t>
      </w:r>
    </w:p>
    <w:p>
      <w:pPr>
        <w:pStyle w:val="ListParagraph"/>
        <w:numPr>
          <w:ilvl w:val="0"/>
          <w:numId w:val="2"/>
        </w:numPr>
        <w:spacing w:after="60"/>
      </w:pPr>
      <w:r>
        <w:rPr>
          <w:sz w:val="22"/>
          <w:szCs w:val="22"/>
        </w:rPr>
        <w:t xml:space="preserve">Studio microsite redesign &amp; branding — reskinning the existing Studio landing page (PMO 5000 project) with a more premium look, and the looming conversation about updating B&amp;H's Studio-specific logo with brand owner Daniela Garcia.</w:t>
      </w:r>
    </w:p>
    <w:p>
      <w:pPr>
        <w:spacing w:after="120"/>
      </w:pPr>
      <w:r>
        <w:rPr>
          <w:i w:val="false"/>
          <w:iCs w:val="false"/>
          <w:sz w:val="22"/>
          <w:szCs w:val="22"/>
        </w:rPr>
        <w:t xml:space="preserve">Two tickets were sized and given start dates during the session (Highlight Refinement enhancement — Medium, starting Monday 8/24; Unified Search — Medium, timing to be confirmed). The Studio PDP awareness work and the Studio microsite/branding work remain in earlier discovery/stakeholder-alignment stages.</w:t>
      </w:r>
    </w:p>
    <w:p>
      <w:pPr>
        <w:pStyle w:val="Heading1"/>
        <w:pBdr>
          <w:bottom w:val="single" w:color="C8993A" w:sz="8" w:space="4"/>
        </w:pBdr>
        <w:spacing w:after="150" w:before="300"/>
      </w:pPr>
      <w:r>
        <w:rPr>
          <w:b/>
          <w:bCs/>
          <w:color w:val="0F1F4B"/>
          <w:sz w:val="28"/>
          <w:szCs w:val="28"/>
        </w:rPr>
        <w:t xml:space="preserve">Detailed Notes by Topic</w:t>
      </w:r>
    </w:p>
    <w:p>
      <w:pPr>
        <w:pStyle w:val="Heading2"/>
        <w:spacing w:after="100" w:before="240"/>
      </w:pPr>
      <w:r>
        <w:rPr>
          <w:b/>
          <w:bCs/>
          <w:color w:val="0F1F4B"/>
          <w:sz w:val="24"/>
          <w:szCs w:val="24"/>
        </w:rPr>
        <w:t xml:space="preserve">1. Highlight Refinement Enhancement (Stepper / Guided Refinement)</w:t>
      </w:r>
    </w:p>
    <w:p>
      <w:pPr>
        <w:pStyle w:val="ListParagraph"/>
        <w:numPr>
          <w:ilvl w:val="0"/>
          <w:numId w:val="2"/>
        </w:numPr>
        <w:spacing w:after="60"/>
      </w:pPr>
      <w:r>
        <w:rPr>
          <w:sz w:val="22"/>
          <w:szCs w:val="22"/>
        </w:rPr>
        <w:t xml:space="preserve">Concept: rather than showing all refinements at once, guide novice/intermediate customers through a sequence — similar to a retail associate asking qualifying questions in order ("green apron" analogy) or Crutchfield/car-audio-style onboarding questionnaires.</w:t>
      </w:r>
    </w:p>
    <w:p>
      <w:pPr>
        <w:pStyle w:val="ListParagraph"/>
        <w:numPr>
          <w:ilvl w:val="0"/>
          <w:numId w:val="2"/>
        </w:numPr>
        <w:spacing w:after="60"/>
      </w:pPr>
      <w:r>
        <w:rPr>
          <w:sz w:val="22"/>
          <w:szCs w:val="22"/>
        </w:rPr>
        <w:t xml:space="preserve">Example walked through: PTZ cameras — customer picks video resolution (e.g., 5K) first as the most important attribute, then sensor size, then zoom type. Selecting one refinement reveals/opens the next.</w:t>
      </w:r>
    </w:p>
    <w:p>
      <w:pPr>
        <w:pStyle w:val="ListParagraph"/>
        <w:numPr>
          <w:ilvl w:val="0"/>
          <w:numId w:val="2"/>
        </w:numPr>
        <w:spacing w:after="60"/>
      </w:pPr>
      <w:r>
        <w:rPr>
          <w:sz w:val="22"/>
          <w:szCs w:val="22"/>
        </w:rPr>
        <w:t xml:space="preserve">Only the top (most influential) refinement is expanded by default; a "Need help? Start here" prompt anchors the first step. This is not meant to force a rigid 1-2-3-4 sequence for every category.</w:t>
      </w:r>
    </w:p>
    <w:p>
      <w:pPr>
        <w:pStyle w:val="ListParagraph"/>
        <w:numPr>
          <w:ilvl w:val="0"/>
          <w:numId w:val="2"/>
        </w:numPr>
        <w:spacing w:after="60"/>
      </w:pPr>
      <w:r>
        <w:rPr>
          <w:sz w:val="22"/>
          <w:szCs w:val="22"/>
        </w:rPr>
        <w:t xml:space="preserve">Skip logic: if a refinement would have no valid selections given prior answers (e.g., no sensor-size options once 5K is chosen), that step should be skipped automatically rather than shown empty.</w:t>
      </w:r>
    </w:p>
    <w:p>
      <w:pPr>
        <w:pStyle w:val="ListParagraph"/>
        <w:numPr>
          <w:ilvl w:val="0"/>
          <w:numId w:val="2"/>
        </w:numPr>
        <w:spacing w:after="60"/>
      </w:pPr>
      <w:r>
        <w:rPr>
          <w:sz w:val="22"/>
          <w:szCs w:val="22"/>
        </w:rPr>
        <w:t xml:space="preserve">A related edge case was raised: when only one option remains selectable after a prior choice (e.g., choosing "Full Frame" leaves only one zoom type available), should that option auto-select? Flagged as a Discovery question rather than resolved in this meeting.</w:t>
      </w:r>
    </w:p>
    <w:p>
      <w:pPr>
        <w:pStyle w:val="ListParagraph"/>
        <w:numPr>
          <w:ilvl w:val="0"/>
          <w:numId w:val="2"/>
        </w:numPr>
        <w:spacing w:after="60"/>
      </w:pPr>
      <w:r>
        <w:rPr>
          <w:sz w:val="22"/>
          <w:szCs w:val="22"/>
        </w:rPr>
        <w:t xml:space="preserve">Design philosophy debate: whether refinement results should update live after each step (preferred approach, contrasted with Crutchfield's "don't update until you're done") — flagged as needing more cross-functional conversation (UX, Merchandising, Technical Content) across categories (audio, photo, video, lighting), since a full guided-questionnaire redesign is a larger, more political effort than the current ticket scope.</w:t>
      </w:r>
    </w:p>
    <w:p>
      <w:pPr>
        <w:pStyle w:val="ListParagraph"/>
        <w:numPr>
          <w:ilvl w:val="0"/>
          <w:numId w:val="2"/>
        </w:numPr>
        <w:spacing w:after="60"/>
      </w:pPr>
      <w:r>
        <w:rPr>
          <w:sz w:val="22"/>
          <w:szCs w:val="22"/>
        </w:rPr>
        <w:t xml:space="preserve">Ownership/process: merchandising identifies the top 3–5 most important refinements per category (minimum 3, maximum 5) and works with Technical Content on the logical sequence; Merchandising brings domain sales experience, Technical Content owns how refinements technically work. Collaboration between the two groups is expected, and issues should be called out if the process isn't working.</w:t>
      </w:r>
    </w:p>
    <w:p>
      <w:pPr>
        <w:pStyle w:val="ListParagraph"/>
        <w:numPr>
          <w:ilvl w:val="0"/>
          <w:numId w:val="2"/>
        </w:numPr>
        <w:spacing w:after="60"/>
      </w:pPr>
      <w:r>
        <w:rPr>
          <w:sz w:val="22"/>
          <w:szCs w:val="22"/>
        </w:rPr>
        <w:t xml:space="preserve">Currently live on roughly 20 categories; expected to grow, pending validation of results (the enhancement has been live under three weeks; team plans to check performance once it reaches 30 days live and compare before/after).</w:t>
      </w:r>
    </w:p>
    <w:p>
      <w:pPr>
        <w:pStyle w:val="ListParagraph"/>
        <w:numPr>
          <w:ilvl w:val="0"/>
          <w:numId w:val="2"/>
        </w:numPr>
        <w:spacing w:after="60"/>
      </w:pPr>
      <w:r>
        <w:rPr>
          <w:sz w:val="22"/>
          <w:szCs w:val="22"/>
        </w:rPr>
        <w:t xml:space="preserve">Sizing: Medium. Ticket start date confirmed for Monday, August 24.</w:t>
      </w:r>
    </w:p>
    <w:p>
      <w:pPr>
        <w:pStyle w:val="Heading2"/>
        <w:spacing w:after="100" w:before="240"/>
      </w:pPr>
      <w:r>
        <w:rPr>
          <w:b/>
          <w:bCs/>
          <w:color w:val="0F1F4B"/>
          <w:sz w:val="24"/>
          <w:szCs w:val="24"/>
        </w:rPr>
        <w:t xml:space="preserve">2. Unified Search &amp; New/Used Listing Page Consolidation</w:t>
      </w:r>
    </w:p>
    <w:p>
      <w:pPr>
        <w:pStyle w:val="ListParagraph"/>
        <w:numPr>
          <w:ilvl w:val="0"/>
          <w:numId w:val="2"/>
        </w:numPr>
        <w:spacing w:after="60"/>
      </w:pPr>
      <w:r>
        <w:rPr>
          <w:sz w:val="22"/>
          <w:szCs w:val="22"/>
        </w:rPr>
        <w:t xml:space="preserve">Current state problem: the used search/browse experience is fragmented — a separate "Shop Used" dropdown exists alongside a standard search, global refinements are duplicated (appearing both at the top of the page and again on the left rail), and the used-specific entry point is easy to miss (described as being "in a blind spot").</w:t>
      </w:r>
    </w:p>
    <w:p>
      <w:pPr>
        <w:pStyle w:val="ListParagraph"/>
        <w:numPr>
          <w:ilvl w:val="0"/>
          <w:numId w:val="2"/>
        </w:numPr>
        <w:spacing w:after="60"/>
      </w:pPr>
      <w:r>
        <w:rPr>
          <w:sz w:val="22"/>
          <w:szCs w:val="22"/>
        </w:rPr>
        <w:t xml:space="preserve">Proposed direction ("Unified Search," a concept discussed for ~3 years without traction): default search results to New, with a clean tab for Used — modeled on REI's pattern of defaulting to Products with a separate "Expert Advice" tab. Whether the default is New or Used would depend on entry point (default New from a general search; default Used if navigating in from the Used category tree).</w:t>
      </w:r>
    </w:p>
    <w:p>
      <w:pPr>
        <w:pStyle w:val="ListParagraph"/>
        <w:numPr>
          <w:ilvl w:val="0"/>
          <w:numId w:val="2"/>
        </w:numPr>
        <w:spacing w:after="60"/>
      </w:pPr>
      <w:r>
        <w:rPr>
          <w:sz w:val="22"/>
          <w:szCs w:val="22"/>
        </w:rPr>
        <w:t xml:space="preserve">Remove the standalone "Shop Used" control and the duplicated top-of-page global refinements (called out as redundant "dead weight" that has been targeted for removal since 2023).</w:t>
      </w:r>
    </w:p>
    <w:p>
      <w:pPr>
        <w:pStyle w:val="ListParagraph"/>
        <w:numPr>
          <w:ilvl w:val="0"/>
          <w:numId w:val="2"/>
        </w:numPr>
        <w:spacing w:after="60"/>
      </w:pPr>
      <w:r>
        <w:rPr>
          <w:sz w:val="22"/>
          <w:szCs w:val="22"/>
        </w:rPr>
        <w:t xml:space="preserve">Open question raised and discussed: should switching between the New and Used tabs preserve/transfer applicable refinement selections via a mapping between new and used filters (e.g., a selected brand or rating carries over)? Confirmed as in-scope and part of the ticket's intent — each tab executes its own separate search, so refinement state needs to be explicitly remembered/mapped, not simply persisted automatically.</w:t>
      </w:r>
    </w:p>
    <w:p>
      <w:pPr>
        <w:pStyle w:val="ListParagraph"/>
        <w:numPr>
          <w:ilvl w:val="0"/>
          <w:numId w:val="2"/>
        </w:numPr>
        <w:spacing w:after="60"/>
      </w:pPr>
      <w:r>
        <w:rPr>
          <w:sz w:val="22"/>
          <w:szCs w:val="22"/>
        </w:rPr>
        <w:t xml:space="preserve">A possible alternative to full tabs: a "scoped search" chip/pill (e.g., a removable "Used" chip similar to a filter tag) layered onto the existing single search, allowing users to scope to Used without a full separate tab experience. There was more openness to dropping this chip/scope concept than to keeping the redundant dropdown and duplicated refinements, which were called out as the two clear, prescriptive asks.</w:t>
      </w:r>
    </w:p>
    <w:p>
      <w:pPr>
        <w:pStyle w:val="ListParagraph"/>
        <w:numPr>
          <w:ilvl w:val="0"/>
          <w:numId w:val="2"/>
        </w:numPr>
        <w:spacing w:after="60"/>
      </w:pPr>
      <w:r>
        <w:rPr>
          <w:sz w:val="22"/>
          <w:szCs w:val="22"/>
        </w:rPr>
        <w:t xml:space="preserve">Scope boundary: category/brand landing pages (the larger "Explorer"-style pages, as opposed to search results / listing pages) were explicitly kept out of this ticket's scope, given the added complexity, incomplete 1:1 mapping between new and used categories, and organizational/political complexity — especially with a category landing page redesign already underway separately.</w:t>
      </w:r>
    </w:p>
    <w:p>
      <w:pPr>
        <w:pStyle w:val="ListParagraph"/>
        <w:numPr>
          <w:ilvl w:val="0"/>
          <w:numId w:val="2"/>
        </w:numPr>
        <w:spacing w:after="60"/>
      </w:pPr>
      <w:r>
        <w:rPr>
          <w:sz w:val="22"/>
          <w:szCs w:val="22"/>
        </w:rPr>
        <w:t xml:space="preserve">My Camera: agreed this enhancement should factor in extending the My Camera personalization tool to Used (same underlying spec data, different category/item codes, with existing new-to-used category ID mappings that can likely be reused). Feasibility to be confirmed in a separate conversation about turning My Camera on for Used.</w:t>
      </w:r>
    </w:p>
    <w:p>
      <w:pPr>
        <w:pStyle w:val="ListParagraph"/>
        <w:numPr>
          <w:ilvl w:val="0"/>
          <w:numId w:val="2"/>
        </w:numPr>
        <w:spacing w:after="60"/>
      </w:pPr>
      <w:r>
        <w:rPr>
          <w:sz w:val="22"/>
          <w:szCs w:val="22"/>
        </w:rPr>
        <w:t xml:space="preserve">Sizing: Medium (leaning toward the larger side of Medium, not Small). Ticket to be filed/typed up as a UX Discovery ticket first, with the option to retitle or drop "Discovery" from the title once further along.</w:t>
      </w:r>
    </w:p>
    <w:p>
      <w:pPr>
        <w:pStyle w:val="ListParagraph"/>
        <w:numPr>
          <w:ilvl w:val="0"/>
          <w:numId w:val="2"/>
        </w:numPr>
        <w:spacing w:after="60"/>
      </w:pPr>
      <w:r>
        <w:rPr>
          <w:sz w:val="22"/>
          <w:szCs w:val="22"/>
        </w:rPr>
        <w:t xml:space="preserve">Additional scenario noted for Discovery: handling the case where a used category has no equivalent new category (or vice versa) when switching tabs, both with and without refinements already selected.</w:t>
      </w:r>
    </w:p>
    <w:p>
      <w:pPr>
        <w:pStyle w:val="ListParagraph"/>
        <w:numPr>
          <w:ilvl w:val="0"/>
          <w:numId w:val="2"/>
        </w:numPr>
        <w:spacing w:after="60"/>
      </w:pPr>
      <w:r>
        <w:rPr>
          <w:sz w:val="22"/>
          <w:szCs w:val="22"/>
        </w:rPr>
        <w:t xml:space="preserve">Start date: discussed alongside the Highlight Refinement ticket; leaning toward starting at the same time rather than staggering.</w:t>
      </w:r>
    </w:p>
    <w:p>
      <w:pPr>
        <w:pStyle w:val="Heading2"/>
        <w:spacing w:after="100" w:before="240"/>
      </w:pPr>
      <w:r>
        <w:rPr>
          <w:b/>
          <w:bCs/>
          <w:color w:val="0F1F4B"/>
          <w:sz w:val="24"/>
          <w:szCs w:val="24"/>
        </w:rPr>
        <w:t xml:space="preserve">3. Studio B2B — Consultative Services Awareness on the PDP</w:t>
      </w:r>
    </w:p>
    <w:p>
      <w:pPr>
        <w:pStyle w:val="ListParagraph"/>
        <w:numPr>
          <w:ilvl w:val="0"/>
          <w:numId w:val="2"/>
        </w:numPr>
        <w:spacing w:after="60"/>
      </w:pPr>
      <w:r>
        <w:rPr>
          <w:sz w:val="22"/>
          <w:szCs w:val="22"/>
        </w:rPr>
        <w:t xml:space="preserve">Target audience: B2B customers with large project budgets (roughly $500K+ threshold discussed, using examples like a university with a $10M grant or a company like Peloton building an in-house studio) who are shopping the regular B2C site/PDP and are unaware that B&amp;H's Studio consultative services exist.</w:t>
      </w:r>
    </w:p>
    <w:p>
      <w:pPr>
        <w:pStyle w:val="ListParagraph"/>
        <w:numPr>
          <w:ilvl w:val="0"/>
          <w:numId w:val="2"/>
        </w:numPr>
        <w:spacing w:after="60"/>
      </w:pPr>
      <w:r>
        <w:rPr>
          <w:sz w:val="22"/>
          <w:szCs w:val="22"/>
        </w:rPr>
        <w:t xml:space="preserve">Trigger logic (not yet finalized): likely a combination of item price/type signals — e.g., a high-ticket item (~$20K camera) is an obvious trigger, but lower-priced items that are components of a larger system (e.g., a $300 light bulb that's part of a $40K light / $250K control board setup) should also be able to trigger awareness. Full trigger logic flagged as a follow-up, not resolved in this meeting.</w:t>
      </w:r>
    </w:p>
    <w:p>
      <w:pPr>
        <w:pStyle w:val="ListParagraph"/>
        <w:numPr>
          <w:ilvl w:val="0"/>
          <w:numId w:val="2"/>
        </w:numPr>
        <w:spacing w:after="60"/>
      </w:pPr>
      <w:r>
        <w:rPr>
          <w:sz w:val="22"/>
          <w:szCs w:val="22"/>
        </w:rPr>
        <w:t xml:space="preserve">Design direction: rather than sending users away to the (currently weak) Studio landing page, keep them in the context of the PDP — a drawer/CTA with a short hook (roughly one to one-and-a-half paragraphs) explaining Studio's consultative capabilities, using industry-recognized keywords for the six Studio service categories, followed by a short lead-capture form.</w:t>
      </w:r>
    </w:p>
    <w:p>
      <w:pPr>
        <w:pStyle w:val="ListParagraph"/>
        <w:numPr>
          <w:ilvl w:val="0"/>
          <w:numId w:val="2"/>
        </w:numPr>
        <w:spacing w:after="60"/>
      </w:pPr>
      <w:r>
        <w:rPr>
          <w:sz w:val="22"/>
          <w:szCs w:val="22"/>
        </w:rPr>
        <w:t xml:space="preserve">Branding/labeling: the CTA should be visually distinct from the existing "Ask an Expert" pattern (different color/treatment, possibly using the Studio brand/logo) so it doesn't get confused with standard product-expert help, since Studio is positioned as a more premium, consultative offering even though customers don't currently distinguish between the two.</w:t>
      </w:r>
    </w:p>
    <w:p>
      <w:pPr>
        <w:pStyle w:val="ListParagraph"/>
        <w:numPr>
          <w:ilvl w:val="0"/>
          <w:numId w:val="2"/>
        </w:numPr>
        <w:spacing w:after="60"/>
      </w:pPr>
      <w:r>
        <w:rPr>
          <w:sz w:val="22"/>
          <w:szCs w:val="22"/>
        </w:rPr>
        <w:t xml:space="preserve">Objective framing (drafted live in the meeting): (1) generate awareness of Studio's consultative services among B2B prospects currently browsing the B2C site who are unaware they exist; (2) capture enough information about the customer and their project to enable a productive first call; (3) briefly communicate what Studio's capabilities are, since most explanation currently lives on the underused landing page.</w:t>
      </w:r>
    </w:p>
    <w:p>
      <w:pPr>
        <w:pStyle w:val="ListParagraph"/>
        <w:numPr>
          <w:ilvl w:val="0"/>
          <w:numId w:val="2"/>
        </w:numPr>
        <w:spacing w:after="60"/>
      </w:pPr>
      <w:r>
        <w:rPr>
          <w:sz w:val="22"/>
          <w:szCs w:val="22"/>
        </w:rPr>
        <w:t xml:space="preserve">Success metric discussed: form submission (lead capture) rather than phone calls, since B2B prospects reportedly prefer filling out a form over calling, and the current Studio intake process (a manual Google Form sent by an internal contact, "Ahmed," after initial outreach) is considered a weak, high-friction experience this project should improve.</w:t>
      </w:r>
    </w:p>
    <w:p>
      <w:pPr>
        <w:pStyle w:val="ListParagraph"/>
        <w:numPr>
          <w:ilvl w:val="0"/>
          <w:numId w:val="2"/>
        </w:numPr>
        <w:spacing w:after="60"/>
      </w:pPr>
      <w:r>
        <w:rPr>
          <w:sz w:val="22"/>
          <w:szCs w:val="22"/>
        </w:rPr>
        <w:t xml:space="preserve">Rationale for prioritization: B2B customers with real budget authority often don't realize B&amp;H's B2C site connects to a B2B Studio practice, so they underspend relative to what they need — increasing visibility on the PDP is intended to route them to consultative support they weren't aware existed.</w:t>
      </w:r>
    </w:p>
    <w:p>
      <w:pPr>
        <w:pStyle w:val="ListParagraph"/>
        <w:numPr>
          <w:ilvl w:val="0"/>
          <w:numId w:val="2"/>
        </w:numPr>
        <w:spacing w:after="60"/>
      </w:pPr>
      <w:r>
        <w:rPr>
          <w:sz w:val="22"/>
          <w:szCs w:val="22"/>
        </w:rPr>
        <w:t xml:space="preserve">Open question raised (not resolved): whether/how a routing or triage step should distinguish simple product questions (handled by regular product experts) from genuine consultative-services inquiries (routed to Studio), given today's small Studio consulting team versus the larger per-category expert team; flagged as more of a service-design question.</w:t>
      </w:r>
    </w:p>
    <w:p>
      <w:pPr>
        <w:pStyle w:val="ListParagraph"/>
        <w:numPr>
          <w:ilvl w:val="0"/>
          <w:numId w:val="2"/>
        </w:numPr>
        <w:spacing w:after="60"/>
      </w:pPr>
      <w:r>
        <w:rPr>
          <w:sz w:val="22"/>
          <w:szCs w:val="22"/>
        </w:rPr>
        <w:t xml:space="preserve">Sizing: leaning Medium (discussed as "low medium," more than Small/two weeks but not Large). Considered likely to start as a UX Discovery / ideation ticket given the number of open questions.</w:t>
      </w:r>
    </w:p>
    <w:p>
      <w:pPr>
        <w:pStyle w:val="Heading2"/>
        <w:spacing w:after="100" w:before="240"/>
      </w:pPr>
      <w:r>
        <w:rPr>
          <w:b/>
          <w:bCs/>
          <w:color w:val="0F1F4B"/>
          <w:sz w:val="24"/>
          <w:szCs w:val="24"/>
        </w:rPr>
        <w:t xml:space="preserve">4. Studio Microsite Redesign &amp; Branding</w:t>
      </w:r>
    </w:p>
    <w:p>
      <w:pPr>
        <w:pStyle w:val="ListParagraph"/>
        <w:numPr>
          <w:ilvl w:val="0"/>
          <w:numId w:val="2"/>
        </w:numPr>
        <w:spacing w:after="60"/>
      </w:pPr>
      <w:r>
        <w:rPr>
          <w:sz w:val="22"/>
          <w:szCs w:val="22"/>
        </w:rPr>
        <w:t xml:space="preserve">Context: the existing Studio landing page is being reskinned/redone under project "PMO 5000"; the direction is for it to feel more premium and visually distinctive, drawing inspiration from competitor sites (Key Code Media, Able Cine, CVP) that use rich studio imagery and their own sub-brand look and feel.</w:t>
      </w:r>
    </w:p>
    <w:p>
      <w:pPr>
        <w:pStyle w:val="ListParagraph"/>
        <w:numPr>
          <w:ilvl w:val="0"/>
          <w:numId w:val="2"/>
        </w:numPr>
        <w:spacing w:after="60"/>
      </w:pPr>
      <w:r>
        <w:rPr>
          <w:sz w:val="22"/>
          <w:szCs w:val="22"/>
        </w:rPr>
        <w:t xml:space="preserve">Positioning analogy used: comparable to how Chase has a distinct look/feel for Chase Private Client versus the main Chase brand — the idea is a related but visually distinct "sub-brand" experience for Studio rather than a fully separate identity.</w:t>
      </w:r>
    </w:p>
    <w:p>
      <w:pPr>
        <w:pStyle w:val="ListParagraph"/>
        <w:numPr>
          <w:ilvl w:val="0"/>
          <w:numId w:val="2"/>
        </w:numPr>
        <w:spacing w:after="60"/>
      </w:pPr>
      <w:r>
        <w:rPr>
          <w:sz w:val="22"/>
          <w:szCs w:val="22"/>
        </w:rPr>
        <w:t xml:space="preserve">Logo discussion: there is interest in evolving/updating the Studio-specific logo treatment to feel more premium, but brand owner Daniela Garcia has historically been protective of the current logo given how widely it's used (signage, trade show banners, apparel, etc.). Approach agreed: frame the conversation around business needs (premium positioning for this new experience) rather than leading with "the logo needs to change," since a prior heavy-handed attempt to push a logo change reportedly did not land well.</w:t>
      </w:r>
    </w:p>
    <w:p>
      <w:pPr>
        <w:pStyle w:val="ListParagraph"/>
        <w:numPr>
          <w:ilvl w:val="0"/>
          <w:numId w:val="2"/>
        </w:numPr>
        <w:spacing w:after="60"/>
      </w:pPr>
      <w:r>
        <w:rPr>
          <w:sz w:val="22"/>
          <w:szCs w:val="22"/>
        </w:rPr>
        <w:t xml:space="preserve">It was noted the company currently lacks a formal brand guideline/style guide and has not had a marketing function for an extended period, which complicates unilateral design decisions on branding; a preference was expressed for outside/third-party branding input given the lack of internal objectivity.</w:t>
      </w:r>
    </w:p>
    <w:p>
      <w:pPr>
        <w:pStyle w:val="ListParagraph"/>
        <w:numPr>
          <w:ilvl w:val="0"/>
          <w:numId w:val="2"/>
        </w:numPr>
        <w:spacing w:after="60"/>
      </w:pPr>
      <w:r>
        <w:rPr>
          <w:sz w:val="22"/>
          <w:szCs w:val="22"/>
        </w:rPr>
        <w:t xml:space="preserve">Plan: a 1:1 conversation with Daniela Garcia is planned for early next week to discuss whether a logo refresh is warranted to support the new premium direction, acknowledging this could affect the microsite timeline if a logo decision needs to precede visual design.</w:t>
      </w:r>
    </w:p>
    <w:p>
      <w:pPr>
        <w:pStyle w:val="ListParagraph"/>
        <w:numPr>
          <w:ilvl w:val="0"/>
          <w:numId w:val="2"/>
        </w:numPr>
        <w:spacing w:after="60"/>
      </w:pPr>
      <w:r>
        <w:rPr>
          <w:sz w:val="22"/>
          <w:szCs w:val="22"/>
        </w:rPr>
        <w:t xml:space="preserve">This logo/branding conversation was explicitly called out as adjacent to, but not blocking, the immediate ticket-grooming work above.</w:t>
      </w:r>
    </w:p>
    <w:p>
      <w:pPr>
        <w:pStyle w:val="Heading1"/>
        <w:pBdr>
          <w:bottom w:val="single" w:color="C8993A" w:sz="8" w:space="4"/>
        </w:pBdr>
        <w:spacing w:after="150" w:before="300"/>
      </w:pPr>
      <w:r>
        <w:rPr>
          <w:b/>
          <w:bCs/>
          <w:color w:val="0F1F4B"/>
          <w:sz w:val="28"/>
          <w:szCs w:val="28"/>
        </w:rPr>
        <w:t xml:space="preserve">Decisions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000"/>
        <w:gridCol w:w="2280"/>
      </w:tblGrid>
      <w:tr>
        <w:trPr>
          <w:tblHeader/>
        </w:trPr>
        <w:tc>
          <w:tcPr>
            <w:tcW w:type="dxa" w:w="7000"/>
            <w:shd w:fill="0F1F4B" w:color="auto" w:val="clear"/>
            <w:tcMar>
              <w:top w:type="dxa" w:w="80"/>
              <w:left w:type="dxa" w:w="100"/>
              <w:bottom w:type="dxa" w:w="80"/>
              <w:right w:type="dxa" w:w="100"/>
            </w:tcMar>
          </w:tcPr>
          <w:p>
            <w:r>
              <w:rPr>
                <w:b/>
                <w:bCs/>
                <w:color w:val="FFFFFF"/>
                <w:sz w:val="20"/>
                <w:szCs w:val="20"/>
              </w:rPr>
              <w:t xml:space="preserve">Decision</w:t>
            </w:r>
          </w:p>
        </w:tc>
        <w:tc>
          <w:tcPr>
            <w:tcW w:type="dxa" w:w="2280"/>
            <w:shd w:fill="0F1F4B" w:color="auto" w:val="clear"/>
            <w:tcMar>
              <w:top w:type="dxa" w:w="80"/>
              <w:left w:type="dxa" w:w="100"/>
              <w:bottom w:type="dxa" w:w="80"/>
              <w:right w:type="dxa" w:w="100"/>
            </w:tcMar>
          </w:tcPr>
          <w:p>
            <w:r>
              <w:rPr>
                <w:b/>
                <w:bCs/>
                <w:color w:val="FFFFFF"/>
                <w:sz w:val="20"/>
                <w:szCs w:val="20"/>
              </w:rPr>
              <w:t xml:space="preserve">Topic</w:t>
            </w:r>
          </w:p>
        </w:tc>
      </w:tr>
      <w:tr>
        <w:tc>
          <w:tcPr>
            <w:tcW w:type="dxa" w:w="7000"/>
            <w:tcMar>
              <w:top w:type="dxa" w:w="80"/>
              <w:left w:type="dxa" w:w="100"/>
              <w:bottom w:type="dxa" w:w="80"/>
              <w:right w:type="dxa" w:w="100"/>
            </w:tcMar>
          </w:tcPr>
          <w:p>
            <w:r>
              <w:rPr>
                <w:sz w:val="20"/>
                <w:szCs w:val="20"/>
              </w:rPr>
              <w:t xml:space="preserve">Highlight Refinement enhancement ticket sized as Medium; start date set for Monday, August 24.</w:t>
            </w:r>
          </w:p>
        </w:tc>
        <w:tc>
          <w:tcPr>
            <w:tcW w:type="dxa" w:w="2280"/>
            <w:tcMar>
              <w:top w:type="dxa" w:w="80"/>
              <w:left w:type="dxa" w:w="100"/>
              <w:bottom w:type="dxa" w:w="80"/>
              <w:right w:type="dxa" w:w="100"/>
            </w:tcMar>
          </w:tcPr>
          <w:p>
            <w:r>
              <w:rPr>
                <w:sz w:val="20"/>
                <w:szCs w:val="20"/>
              </w:rPr>
              <w:t xml:space="preserve">Highlight Refinement</w:t>
            </w:r>
          </w:p>
        </w:tc>
      </w:tr>
      <w:tr>
        <w:tc>
          <w:tcPr>
            <w:tcW w:type="dxa" w:w="7000"/>
            <w:tcMar>
              <w:top w:type="dxa" w:w="80"/>
              <w:left w:type="dxa" w:w="100"/>
              <w:bottom w:type="dxa" w:w="80"/>
              <w:right w:type="dxa" w:w="100"/>
            </w:tcMar>
          </w:tcPr>
          <w:p>
            <w:r>
              <w:rPr>
                <w:sz w:val="20"/>
                <w:szCs w:val="20"/>
              </w:rPr>
              <w:t xml:space="preserve">Refinement steps with no valid downstream options should be skipped automatically (skip-logic).</w:t>
            </w:r>
          </w:p>
        </w:tc>
        <w:tc>
          <w:tcPr>
            <w:tcW w:type="dxa" w:w="2280"/>
            <w:tcMar>
              <w:top w:type="dxa" w:w="80"/>
              <w:left w:type="dxa" w:w="100"/>
              <w:bottom w:type="dxa" w:w="80"/>
              <w:right w:type="dxa" w:w="100"/>
            </w:tcMar>
          </w:tcPr>
          <w:p>
            <w:r>
              <w:rPr>
                <w:sz w:val="20"/>
                <w:szCs w:val="20"/>
              </w:rPr>
              <w:t xml:space="preserve">Highlight Refinement</w:t>
            </w:r>
          </w:p>
        </w:tc>
      </w:tr>
      <w:tr>
        <w:tc>
          <w:tcPr>
            <w:tcW w:type="dxa" w:w="7000"/>
            <w:tcMar>
              <w:top w:type="dxa" w:w="80"/>
              <w:left w:type="dxa" w:w="100"/>
              <w:bottom w:type="dxa" w:w="80"/>
              <w:right w:type="dxa" w:w="100"/>
            </w:tcMar>
          </w:tcPr>
          <w:p>
            <w:r>
              <w:rPr>
                <w:sz w:val="20"/>
                <w:szCs w:val="20"/>
              </w:rPr>
              <w:t xml:space="preserve">Unified Search ticket will remove the standalone "Shop Used" dropdown and the duplicated top-of-page global refinements.</w:t>
            </w:r>
          </w:p>
        </w:tc>
        <w:tc>
          <w:tcPr>
            <w:tcW w:type="dxa" w:w="2280"/>
            <w:tcMar>
              <w:top w:type="dxa" w:w="80"/>
              <w:left w:type="dxa" w:w="100"/>
              <w:bottom w:type="dxa" w:w="80"/>
              <w:right w:type="dxa" w:w="100"/>
            </w:tcMar>
          </w:tcPr>
          <w:p>
            <w:r>
              <w:rPr>
                <w:sz w:val="20"/>
                <w:szCs w:val="20"/>
              </w:rPr>
              <w:t xml:space="preserve">Unified Search</w:t>
            </w:r>
          </w:p>
        </w:tc>
      </w:tr>
      <w:tr>
        <w:tc>
          <w:tcPr>
            <w:tcW w:type="dxa" w:w="7000"/>
            <w:tcMar>
              <w:top w:type="dxa" w:w="80"/>
              <w:left w:type="dxa" w:w="100"/>
              <w:bottom w:type="dxa" w:w="80"/>
              <w:right w:type="dxa" w:w="100"/>
            </w:tcMar>
          </w:tcPr>
          <w:p>
            <w:r>
              <w:rPr>
                <w:sz w:val="20"/>
                <w:szCs w:val="20"/>
              </w:rPr>
              <w:t xml:space="preserve">New/Used tab switching must map and transfer applicable refinement selections between the two searches, not just persist state passively.</w:t>
            </w:r>
          </w:p>
        </w:tc>
        <w:tc>
          <w:tcPr>
            <w:tcW w:type="dxa" w:w="2280"/>
            <w:tcMar>
              <w:top w:type="dxa" w:w="80"/>
              <w:left w:type="dxa" w:w="100"/>
              <w:bottom w:type="dxa" w:w="80"/>
              <w:right w:type="dxa" w:w="100"/>
            </w:tcMar>
          </w:tcPr>
          <w:p>
            <w:r>
              <w:rPr>
                <w:sz w:val="20"/>
                <w:szCs w:val="20"/>
              </w:rPr>
              <w:t xml:space="preserve">Unified Search</w:t>
            </w:r>
          </w:p>
        </w:tc>
      </w:tr>
      <w:tr>
        <w:tc>
          <w:tcPr>
            <w:tcW w:type="dxa" w:w="7000"/>
            <w:tcMar>
              <w:top w:type="dxa" w:w="80"/>
              <w:left w:type="dxa" w:w="100"/>
              <w:bottom w:type="dxa" w:w="80"/>
              <w:right w:type="dxa" w:w="100"/>
            </w:tcMar>
          </w:tcPr>
          <w:p>
            <w:r>
              <w:rPr>
                <w:sz w:val="20"/>
                <w:szCs w:val="20"/>
              </w:rPr>
              <w:t xml:space="preserve">Category/brand landing pages ("Explorer") are out of scope for the Unified Search ticket.</w:t>
            </w:r>
          </w:p>
        </w:tc>
        <w:tc>
          <w:tcPr>
            <w:tcW w:type="dxa" w:w="2280"/>
            <w:tcMar>
              <w:top w:type="dxa" w:w="80"/>
              <w:left w:type="dxa" w:w="100"/>
              <w:bottom w:type="dxa" w:w="80"/>
              <w:right w:type="dxa" w:w="100"/>
            </w:tcMar>
          </w:tcPr>
          <w:p>
            <w:r>
              <w:rPr>
                <w:sz w:val="20"/>
                <w:szCs w:val="20"/>
              </w:rPr>
              <w:t xml:space="preserve">Unified Search</w:t>
            </w:r>
          </w:p>
        </w:tc>
      </w:tr>
      <w:tr>
        <w:tc>
          <w:tcPr>
            <w:tcW w:type="dxa" w:w="7000"/>
            <w:tcMar>
              <w:top w:type="dxa" w:w="80"/>
              <w:left w:type="dxa" w:w="100"/>
              <w:bottom w:type="dxa" w:w="80"/>
              <w:right w:type="dxa" w:w="100"/>
            </w:tcMar>
          </w:tcPr>
          <w:p>
            <w:r>
              <w:rPr>
                <w:sz w:val="20"/>
                <w:szCs w:val="20"/>
              </w:rPr>
              <w:t xml:space="preserve">My Camera should be factored into the Unified Search design as extending to Used, pending feasibility confirmation.</w:t>
            </w:r>
          </w:p>
        </w:tc>
        <w:tc>
          <w:tcPr>
            <w:tcW w:type="dxa" w:w="2280"/>
            <w:tcMar>
              <w:top w:type="dxa" w:w="80"/>
              <w:left w:type="dxa" w:w="100"/>
              <w:bottom w:type="dxa" w:w="80"/>
              <w:right w:type="dxa" w:w="100"/>
            </w:tcMar>
          </w:tcPr>
          <w:p>
            <w:r>
              <w:rPr>
                <w:sz w:val="20"/>
                <w:szCs w:val="20"/>
              </w:rPr>
              <w:t xml:space="preserve">Unified Search</w:t>
            </w:r>
          </w:p>
        </w:tc>
      </w:tr>
      <w:tr>
        <w:tc>
          <w:tcPr>
            <w:tcW w:type="dxa" w:w="7000"/>
            <w:tcMar>
              <w:top w:type="dxa" w:w="80"/>
              <w:left w:type="dxa" w:w="100"/>
              <w:bottom w:type="dxa" w:w="80"/>
              <w:right w:type="dxa" w:w="100"/>
            </w:tcMar>
          </w:tcPr>
          <w:p>
            <w:r>
              <w:rPr>
                <w:sz w:val="20"/>
                <w:szCs w:val="20"/>
              </w:rPr>
              <w:t xml:space="preserve">Unified Search ticket sized as Medium (leaning larger); to start same time as Highlight Refinement.</w:t>
            </w:r>
          </w:p>
        </w:tc>
        <w:tc>
          <w:tcPr>
            <w:tcW w:type="dxa" w:w="2280"/>
            <w:tcMar>
              <w:top w:type="dxa" w:w="80"/>
              <w:left w:type="dxa" w:w="100"/>
              <w:bottom w:type="dxa" w:w="80"/>
              <w:right w:type="dxa" w:w="100"/>
            </w:tcMar>
          </w:tcPr>
          <w:p>
            <w:r>
              <w:rPr>
                <w:sz w:val="20"/>
                <w:szCs w:val="20"/>
              </w:rPr>
              <w:t xml:space="preserve">Unified Search</w:t>
            </w:r>
          </w:p>
        </w:tc>
      </w:tr>
      <w:tr>
        <w:tc>
          <w:tcPr>
            <w:tcW w:type="dxa" w:w="7000"/>
            <w:tcMar>
              <w:top w:type="dxa" w:w="80"/>
              <w:left w:type="dxa" w:w="100"/>
              <w:bottom w:type="dxa" w:w="80"/>
              <w:right w:type="dxa" w:w="100"/>
            </w:tcMar>
          </w:tcPr>
          <w:p>
            <w:r>
              <w:rPr>
                <w:sz w:val="20"/>
                <w:szCs w:val="20"/>
              </w:rPr>
              <w:t xml:space="preserve">Studio PDP awareness CTA should keep customers in PDP context (drawer + short lead form) rather than routing to the Studio landing page.</w:t>
            </w:r>
          </w:p>
        </w:tc>
        <w:tc>
          <w:tcPr>
            <w:tcW w:type="dxa" w:w="2280"/>
            <w:tcMar>
              <w:top w:type="dxa" w:w="80"/>
              <w:left w:type="dxa" w:w="100"/>
              <w:bottom w:type="dxa" w:w="80"/>
              <w:right w:type="dxa" w:w="100"/>
            </w:tcMar>
          </w:tcPr>
          <w:p>
            <w:r>
              <w:rPr>
                <w:sz w:val="20"/>
                <w:szCs w:val="20"/>
              </w:rPr>
              <w:t xml:space="preserve">Studio B2B PDP</w:t>
            </w:r>
          </w:p>
        </w:tc>
      </w:tr>
      <w:tr>
        <w:tc>
          <w:tcPr>
            <w:tcW w:type="dxa" w:w="7000"/>
            <w:tcMar>
              <w:top w:type="dxa" w:w="80"/>
              <w:left w:type="dxa" w:w="100"/>
              <w:bottom w:type="dxa" w:w="80"/>
              <w:right w:type="dxa" w:w="100"/>
            </w:tcMar>
          </w:tcPr>
          <w:p>
            <w:r>
              <w:rPr>
                <w:sz w:val="20"/>
                <w:szCs w:val="20"/>
              </w:rPr>
              <w:t xml:space="preserve">Primary KPI for the Studio PDP awareness work is lead-capture form submissions, not calls.</w:t>
            </w:r>
          </w:p>
        </w:tc>
        <w:tc>
          <w:tcPr>
            <w:tcW w:type="dxa" w:w="2280"/>
            <w:tcMar>
              <w:top w:type="dxa" w:w="80"/>
              <w:left w:type="dxa" w:w="100"/>
              <w:bottom w:type="dxa" w:w="80"/>
              <w:right w:type="dxa" w:w="100"/>
            </w:tcMar>
          </w:tcPr>
          <w:p>
            <w:r>
              <w:rPr>
                <w:sz w:val="20"/>
                <w:szCs w:val="20"/>
              </w:rPr>
              <w:t xml:space="preserve">Studio B2B PDP</w:t>
            </w:r>
          </w:p>
        </w:tc>
      </w:tr>
      <w:tr>
        <w:tc>
          <w:tcPr>
            <w:tcW w:type="dxa" w:w="7000"/>
            <w:tcMar>
              <w:top w:type="dxa" w:w="80"/>
              <w:left w:type="dxa" w:w="100"/>
              <w:bottom w:type="dxa" w:w="80"/>
              <w:right w:type="dxa" w:w="100"/>
            </w:tcMar>
          </w:tcPr>
          <w:p>
            <w:r>
              <w:rPr>
                <w:sz w:val="20"/>
                <w:szCs w:val="20"/>
              </w:rPr>
              <w:t xml:space="preserve">Studio microsite redesign (PMO 5000) will pursue a more premium, sub-brand-style look inspired by competitor sites.</w:t>
            </w:r>
          </w:p>
        </w:tc>
        <w:tc>
          <w:tcPr>
            <w:tcW w:type="dxa" w:w="2280"/>
            <w:tcMar>
              <w:top w:type="dxa" w:w="80"/>
              <w:left w:type="dxa" w:w="100"/>
              <w:bottom w:type="dxa" w:w="80"/>
              <w:right w:type="dxa" w:w="100"/>
            </w:tcMar>
          </w:tcPr>
          <w:p>
            <w:r>
              <w:rPr>
                <w:sz w:val="20"/>
                <w:szCs w:val="20"/>
              </w:rPr>
              <w:t xml:space="preserve">Studio Microsite</w:t>
            </w:r>
          </w:p>
        </w:tc>
      </w:tr>
      <w:tr>
        <w:tc>
          <w:tcPr>
            <w:tcW w:type="dxa" w:w="7000"/>
            <w:tcMar>
              <w:top w:type="dxa" w:w="80"/>
              <w:left w:type="dxa" w:w="100"/>
              <w:bottom w:type="dxa" w:w="80"/>
              <w:right w:type="dxa" w:w="100"/>
            </w:tcMar>
          </w:tcPr>
          <w:p>
            <w:r>
              <w:rPr>
                <w:sz w:val="20"/>
                <w:szCs w:val="20"/>
              </w:rPr>
              <w:t xml:space="preserve">Logo conversation with Daniela Garcia will be framed around business/premium-positioning needs rather than a direct request to change the logo.</w:t>
            </w:r>
          </w:p>
        </w:tc>
        <w:tc>
          <w:tcPr>
            <w:tcW w:type="dxa" w:w="2280"/>
            <w:tcMar>
              <w:top w:type="dxa" w:w="80"/>
              <w:left w:type="dxa" w:w="100"/>
              <w:bottom w:type="dxa" w:w="80"/>
              <w:right w:type="dxa" w:w="100"/>
            </w:tcMar>
          </w:tcPr>
          <w:p>
            <w:r>
              <w:rPr>
                <w:sz w:val="20"/>
                <w:szCs w:val="20"/>
              </w:rPr>
              <w:t xml:space="preserve">Studio Branding</w:t>
            </w:r>
          </w:p>
        </w:tc>
      </w:tr>
    </w:tbl>
    <w:p>
      <w:pPr>
        <w:pStyle w:val="Heading1"/>
        <w:pBdr>
          <w:bottom w:val="single" w:color="C8993A" w:sz="8" w:space="4"/>
        </w:pBdr>
        <w:spacing w:after="150" w:before="300"/>
      </w:pPr>
      <w:r>
        <w:rPr>
          <w:b/>
          <w:bCs/>
          <w:color w:val="0F1F4B"/>
          <w:sz w:val="28"/>
          <w:szCs w:val="28"/>
        </w:rPr>
        <w:t xml:space="preserve">Action Items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180"/>
      </w:tblGrid>
      <w:tr>
        <w:trPr>
          <w:tblHeader/>
        </w:trPr>
        <w:tc>
          <w:tcPr>
            <w:tcW w:type="dxa" w:w="4200"/>
            <w:shd w:fill="0F1F4B" w:color="auto" w:val="clear"/>
            <w:tcMar>
              <w:top w:type="dxa" w:w="80"/>
              <w:left w:type="dxa" w:w="100"/>
              <w:bottom w:type="dxa" w:w="80"/>
              <w:right w:type="dxa" w:w="100"/>
            </w:tcMar>
          </w:tcPr>
          <w:p>
            <w:r>
              <w:rPr>
                <w:b/>
                <w:bCs/>
                <w:color w:val="FFFFFF"/>
                <w:sz w:val="20"/>
                <w:szCs w:val="20"/>
              </w:rPr>
              <w:t xml:space="preserve">Action Item</w:t>
            </w:r>
          </w:p>
        </w:tc>
        <w:tc>
          <w:tcPr>
            <w:tcW w:type="dxa" w:w="2900"/>
            <w:shd w:fill="0F1F4B" w:color="auto" w:val="clear"/>
            <w:tcMar>
              <w:top w:type="dxa" w:w="80"/>
              <w:left w:type="dxa" w:w="100"/>
              <w:bottom w:type="dxa" w:w="80"/>
              <w:right w:type="dxa" w:w="100"/>
            </w:tcMar>
          </w:tcPr>
          <w:p>
            <w:r>
              <w:rPr>
                <w:b/>
                <w:bCs/>
                <w:color w:val="FFFFFF"/>
                <w:sz w:val="20"/>
                <w:szCs w:val="20"/>
              </w:rPr>
              <w:t xml:space="preserve">Owner</w:t>
            </w:r>
          </w:p>
        </w:tc>
        <w:tc>
          <w:tcPr>
            <w:tcW w:type="dxa" w:w="2180"/>
            <w:shd w:fill="0F1F4B" w:color="auto" w:val="clear"/>
            <w:tcMar>
              <w:top w:type="dxa" w:w="80"/>
              <w:left w:type="dxa" w:w="100"/>
              <w:bottom w:type="dxa" w:w="80"/>
              <w:right w:type="dxa" w:w="100"/>
            </w:tcMar>
          </w:tcPr>
          <w:p>
            <w:r>
              <w:rPr>
                <w:b/>
                <w:bCs/>
                <w:color w:val="FFFFFF"/>
                <w:sz w:val="20"/>
                <w:szCs w:val="20"/>
              </w:rPr>
              <w:t xml:space="preserve">Due / Timing</w:t>
            </w:r>
          </w:p>
        </w:tc>
      </w:tr>
      <w:tr>
        <w:tc>
          <w:tcPr>
            <w:tcW w:type="dxa" w:w="4200"/>
            <w:tcMar>
              <w:top w:type="dxa" w:w="80"/>
              <w:left w:type="dxa" w:w="100"/>
              <w:bottom w:type="dxa" w:w="80"/>
              <w:right w:type="dxa" w:w="100"/>
            </w:tcMar>
          </w:tcPr>
          <w:p>
            <w:r>
              <w:rPr>
                <w:sz w:val="20"/>
                <w:szCs w:val="20"/>
              </w:rPr>
              <w:t xml:space="preserve">File/finalize Highlight Refinement enhancement ticket (Medium) with skip-logic requirement documented.</w:t>
            </w:r>
          </w:p>
        </w:tc>
        <w:tc>
          <w:tcPr>
            <w:tcW w:type="dxa" w:w="2900"/>
            <w:tcMar>
              <w:top w:type="dxa" w:w="80"/>
              <w:left w:type="dxa" w:w="100"/>
              <w:bottom w:type="dxa" w:w="80"/>
              <w:right w:type="dxa" w:w="100"/>
            </w:tcMar>
          </w:tcPr>
          <w:p>
            <w:r>
              <w:rPr>
                <w:sz w:val="20"/>
                <w:szCs w:val="20"/>
              </w:rPr>
              <w:t xml:space="preserve">Provisional — likely Jerel</w:t>
            </w:r>
          </w:p>
        </w:tc>
        <w:tc>
          <w:tcPr>
            <w:tcW w:type="dxa" w:w="2180"/>
            <w:tcMar>
              <w:top w:type="dxa" w:w="80"/>
              <w:left w:type="dxa" w:w="100"/>
              <w:bottom w:type="dxa" w:w="80"/>
              <w:right w:type="dxa" w:w="100"/>
            </w:tcMar>
          </w:tcPr>
          <w:p>
            <w:r>
              <w:rPr>
                <w:sz w:val="20"/>
                <w:szCs w:val="20"/>
              </w:rPr>
              <w:t xml:space="preserve">Start Mon 8/24</w:t>
            </w:r>
          </w:p>
        </w:tc>
      </w:tr>
      <w:tr>
        <w:tc>
          <w:tcPr>
            <w:tcW w:type="dxa" w:w="4200"/>
            <w:tcMar>
              <w:top w:type="dxa" w:w="80"/>
              <w:left w:type="dxa" w:w="100"/>
              <w:bottom w:type="dxa" w:w="80"/>
              <w:right w:type="dxa" w:w="100"/>
            </w:tcMar>
          </w:tcPr>
          <w:p>
            <w:r>
              <w:rPr>
                <w:sz w:val="20"/>
                <w:szCs w:val="20"/>
              </w:rPr>
              <w:t xml:space="preserve">Confirm feasibility of refinement-to-refinement mapping and "same spec, different cat ID" logic for My Camera on Used.</w:t>
            </w:r>
          </w:p>
        </w:tc>
        <w:tc>
          <w:tcPr>
            <w:tcW w:type="dxa" w:w="2900"/>
            <w:tcMar>
              <w:top w:type="dxa" w:w="80"/>
              <w:left w:type="dxa" w:w="100"/>
              <w:bottom w:type="dxa" w:w="80"/>
              <w:right w:type="dxa" w:w="100"/>
            </w:tcMar>
          </w:tcPr>
          <w:p>
            <w:r>
              <w:rPr>
                <w:sz w:val="20"/>
                <w:szCs w:val="20"/>
              </w:rPr>
              <w:t xml:space="preserve">Feasibility conversation w/ Yehuda (and Matt Sinclair mentioned)</w:t>
            </w:r>
          </w:p>
        </w:tc>
        <w:tc>
          <w:tcPr>
            <w:tcW w:type="dxa" w:w="2180"/>
            <w:tcMar>
              <w:top w:type="dxa" w:w="80"/>
              <w:left w:type="dxa" w:w="100"/>
              <w:bottom w:type="dxa" w:w="80"/>
              <w:right w:type="dxa" w:w="100"/>
            </w:tcMar>
          </w:tcPr>
          <w:p>
            <w:r>
              <w:rPr>
                <w:sz w:val="20"/>
                <w:szCs w:val="20"/>
              </w:rPr>
              <w:t xml:space="preserve">TBD</w:t>
            </w:r>
          </w:p>
        </w:tc>
      </w:tr>
      <w:tr>
        <w:tc>
          <w:tcPr>
            <w:tcW w:type="dxa" w:w="4200"/>
            <w:tcMar>
              <w:top w:type="dxa" w:w="80"/>
              <w:left w:type="dxa" w:w="100"/>
              <w:bottom w:type="dxa" w:w="80"/>
              <w:right w:type="dxa" w:w="100"/>
            </w:tcMar>
          </w:tcPr>
          <w:p>
            <w:r>
              <w:rPr>
                <w:sz w:val="20"/>
                <w:szCs w:val="20"/>
              </w:rPr>
              <w:t xml:space="preserve">Write/finalize Unified Search Discovery ticket including scenario list (equivalent vs. non-equivalent used/new categories, with/without refinements selected).</w:t>
            </w:r>
          </w:p>
        </w:tc>
        <w:tc>
          <w:tcPr>
            <w:tcW w:type="dxa" w:w="2900"/>
            <w:tcMar>
              <w:top w:type="dxa" w:w="80"/>
              <w:left w:type="dxa" w:w="100"/>
              <w:bottom w:type="dxa" w:w="80"/>
              <w:right w:type="dxa" w:w="100"/>
            </w:tcMar>
          </w:tcPr>
          <w:p>
            <w:r>
              <w:rPr>
                <w:sz w:val="20"/>
                <w:szCs w:val="20"/>
              </w:rPr>
              <w:t xml:space="preserve">Provisional — likely Jerel</w:t>
            </w:r>
          </w:p>
        </w:tc>
        <w:tc>
          <w:tcPr>
            <w:tcW w:type="dxa" w:w="2180"/>
            <w:tcMar>
              <w:top w:type="dxa" w:w="80"/>
              <w:left w:type="dxa" w:w="100"/>
              <w:bottom w:type="dxa" w:w="80"/>
              <w:right w:type="dxa" w:w="100"/>
            </w:tcMar>
          </w:tcPr>
          <w:p>
            <w:r>
              <w:rPr>
                <w:sz w:val="20"/>
                <w:szCs w:val="20"/>
              </w:rPr>
              <w:t xml:space="preserve">Same start as Highlight Refinement</w:t>
            </w:r>
          </w:p>
        </w:tc>
      </w:tr>
      <w:tr>
        <w:tc>
          <w:tcPr>
            <w:tcW w:type="dxa" w:w="4200"/>
            <w:tcMar>
              <w:top w:type="dxa" w:w="80"/>
              <w:left w:type="dxa" w:w="100"/>
              <w:bottom w:type="dxa" w:w="80"/>
              <w:right w:type="dxa" w:w="100"/>
            </w:tcMar>
          </w:tcPr>
          <w:p>
            <w:r>
              <w:rPr>
                <w:sz w:val="20"/>
                <w:szCs w:val="20"/>
              </w:rPr>
              <w:t xml:space="preserve">Schedule cross-functional conversation (UX, Merchandising, Technical Content) on guided-refinement sequencing across audio, photo, video, and lighting categories.</w:t>
            </w:r>
          </w:p>
        </w:tc>
        <w:tc>
          <w:tcPr>
            <w:tcW w:type="dxa" w:w="2900"/>
            <w:tcMar>
              <w:top w:type="dxa" w:w="80"/>
              <w:left w:type="dxa" w:w="100"/>
              <w:bottom w:type="dxa" w:w="80"/>
              <w:right w:type="dxa" w:w="100"/>
            </w:tcMar>
          </w:tcPr>
          <w:p>
            <w:r>
              <w:rPr>
                <w:sz w:val="20"/>
                <w:szCs w:val="20"/>
              </w:rPr>
              <w:t xml:space="preserve">Unassigned</w:t>
            </w:r>
          </w:p>
        </w:tc>
        <w:tc>
          <w:tcPr>
            <w:tcW w:type="dxa" w:w="2180"/>
            <w:tcMar>
              <w:top w:type="dxa" w:w="80"/>
              <w:left w:type="dxa" w:w="100"/>
              <w:bottom w:type="dxa" w:w="80"/>
              <w:right w:type="dxa" w:w="100"/>
            </w:tcMar>
          </w:tcPr>
          <w:p>
            <w:r>
              <w:rPr>
                <w:sz w:val="20"/>
                <w:szCs w:val="20"/>
              </w:rPr>
              <w:t xml:space="preserve">TBD</w:t>
            </w:r>
          </w:p>
        </w:tc>
      </w:tr>
      <w:tr>
        <w:tc>
          <w:tcPr>
            <w:tcW w:type="dxa" w:w="4200"/>
            <w:tcMar>
              <w:top w:type="dxa" w:w="80"/>
              <w:left w:type="dxa" w:w="100"/>
              <w:bottom w:type="dxa" w:w="80"/>
              <w:right w:type="dxa" w:w="100"/>
            </w:tcMar>
          </w:tcPr>
          <w:p>
            <w:r>
              <w:rPr>
                <w:sz w:val="20"/>
                <w:szCs w:val="20"/>
              </w:rPr>
              <w:t xml:space="preserve">Draft trigger logic (price/item-type thresholds) for surfacing the Studio consultative-services CTA on the PDP.</w:t>
            </w:r>
          </w:p>
        </w:tc>
        <w:tc>
          <w:tcPr>
            <w:tcW w:type="dxa" w:w="2900"/>
            <w:tcMar>
              <w:top w:type="dxa" w:w="80"/>
              <w:left w:type="dxa" w:w="100"/>
              <w:bottom w:type="dxa" w:w="80"/>
              <w:right w:type="dxa" w:w="100"/>
            </w:tcMar>
          </w:tcPr>
          <w:p>
            <w:r>
              <w:rPr>
                <w:sz w:val="20"/>
                <w:szCs w:val="20"/>
              </w:rPr>
              <w:t xml:space="preserve">Unassigned</w:t>
            </w:r>
          </w:p>
        </w:tc>
        <w:tc>
          <w:tcPr>
            <w:tcW w:type="dxa" w:w="2180"/>
            <w:tcMar>
              <w:top w:type="dxa" w:w="80"/>
              <w:left w:type="dxa" w:w="100"/>
              <w:bottom w:type="dxa" w:w="80"/>
              <w:right w:type="dxa" w:w="100"/>
            </w:tcMar>
          </w:tcPr>
          <w:p>
            <w:r>
              <w:rPr>
                <w:sz w:val="20"/>
                <w:szCs w:val="20"/>
              </w:rPr>
              <w:t xml:space="preserve">TBD</w:t>
            </w:r>
          </w:p>
        </w:tc>
      </w:tr>
      <w:tr>
        <w:tc>
          <w:tcPr>
            <w:tcW w:type="dxa" w:w="4200"/>
            <w:tcMar>
              <w:top w:type="dxa" w:w="80"/>
              <w:left w:type="dxa" w:w="100"/>
              <w:bottom w:type="dxa" w:w="80"/>
              <w:right w:type="dxa" w:w="100"/>
            </w:tcMar>
          </w:tcPr>
          <w:p>
            <w:r>
              <w:rPr>
                <w:sz w:val="20"/>
                <w:szCs w:val="20"/>
              </w:rPr>
              <w:t xml:space="preserve">Retrieve/reference existing Studio intake Google Form (previously worked on by "Jay") as a baseline for the new in-PDP lead form.</w:t>
            </w:r>
          </w:p>
        </w:tc>
        <w:tc>
          <w:tcPr>
            <w:tcW w:type="dxa" w:w="2900"/>
            <w:tcMar>
              <w:top w:type="dxa" w:w="80"/>
              <w:left w:type="dxa" w:w="100"/>
              <w:bottom w:type="dxa" w:w="80"/>
              <w:right w:type="dxa" w:w="100"/>
            </w:tcMar>
          </w:tcPr>
          <w:p>
            <w:r>
              <w:rPr>
                <w:sz w:val="20"/>
                <w:szCs w:val="20"/>
              </w:rPr>
              <w:t xml:space="preserve">Unassigned</w:t>
            </w:r>
          </w:p>
        </w:tc>
        <w:tc>
          <w:tcPr>
            <w:tcW w:type="dxa" w:w="2180"/>
            <w:tcMar>
              <w:top w:type="dxa" w:w="80"/>
              <w:left w:type="dxa" w:w="100"/>
              <w:bottom w:type="dxa" w:w="80"/>
              <w:right w:type="dxa" w:w="100"/>
            </w:tcMar>
          </w:tcPr>
          <w:p>
            <w:r>
              <w:rPr>
                <w:sz w:val="20"/>
                <w:szCs w:val="20"/>
              </w:rPr>
              <w:t xml:space="preserve">TBD</w:t>
            </w:r>
          </w:p>
        </w:tc>
      </w:tr>
      <w:tr>
        <w:tc>
          <w:tcPr>
            <w:tcW w:type="dxa" w:w="4200"/>
            <w:tcMar>
              <w:top w:type="dxa" w:w="80"/>
              <w:left w:type="dxa" w:w="100"/>
              <w:bottom w:type="dxa" w:w="80"/>
              <w:right w:type="dxa" w:w="100"/>
            </w:tcMar>
          </w:tcPr>
          <w:p>
            <w:r>
              <w:rPr>
                <w:sz w:val="20"/>
                <w:szCs w:val="20"/>
              </w:rPr>
              <w:t xml:space="preserve">Draft Studio PDP awareness objectives statement (awareness, lead info capture, brief capability explanation) into ticket.</w:t>
            </w:r>
          </w:p>
        </w:tc>
        <w:tc>
          <w:tcPr>
            <w:tcW w:type="dxa" w:w="2900"/>
            <w:tcMar>
              <w:top w:type="dxa" w:w="80"/>
              <w:left w:type="dxa" w:w="100"/>
              <w:bottom w:type="dxa" w:w="80"/>
              <w:right w:type="dxa" w:w="100"/>
            </w:tcMar>
          </w:tcPr>
          <w:p>
            <w:r>
              <w:rPr>
                <w:sz w:val="20"/>
                <w:szCs w:val="20"/>
              </w:rPr>
              <w:t xml:space="preserve">In progress — drafted live in meeting; needs finalizing</w:t>
            </w:r>
          </w:p>
        </w:tc>
        <w:tc>
          <w:tcPr>
            <w:tcW w:type="dxa" w:w="2180"/>
            <w:tcMar>
              <w:top w:type="dxa" w:w="80"/>
              <w:left w:type="dxa" w:w="100"/>
              <w:bottom w:type="dxa" w:w="80"/>
              <w:right w:type="dxa" w:w="100"/>
            </w:tcMar>
          </w:tcPr>
          <w:p>
            <w:r>
              <w:rPr>
                <w:sz w:val="20"/>
                <w:szCs w:val="20"/>
              </w:rPr>
              <w:t xml:space="preserve">TBD</w:t>
            </w:r>
          </w:p>
        </w:tc>
      </w:tr>
      <w:tr>
        <w:tc>
          <w:tcPr>
            <w:tcW w:type="dxa" w:w="4200"/>
            <w:tcMar>
              <w:top w:type="dxa" w:w="80"/>
              <w:left w:type="dxa" w:w="100"/>
              <w:bottom w:type="dxa" w:w="80"/>
              <w:right w:type="dxa" w:w="100"/>
            </w:tcMar>
          </w:tcPr>
          <w:p>
            <w:r>
              <w:rPr>
                <w:sz w:val="20"/>
                <w:szCs w:val="20"/>
              </w:rPr>
              <w:t xml:space="preserve">Schedule 1:1 with Daniela Garcia to discuss Studio logo/branding direction ahead of microsite visual design.</w:t>
            </w:r>
          </w:p>
        </w:tc>
        <w:tc>
          <w:tcPr>
            <w:tcW w:type="dxa" w:w="2900"/>
            <w:tcMar>
              <w:top w:type="dxa" w:w="80"/>
              <w:left w:type="dxa" w:w="100"/>
              <w:bottom w:type="dxa" w:w="80"/>
              <w:right w:type="dxa" w:w="100"/>
            </w:tcMar>
          </w:tcPr>
          <w:p>
            <w:r>
              <w:rPr>
                <w:sz w:val="20"/>
                <w:szCs w:val="20"/>
              </w:rPr>
              <w:t xml:space="preserve">Provisional — meeting owner</w:t>
            </w:r>
          </w:p>
        </w:tc>
        <w:tc>
          <w:tcPr>
            <w:tcW w:type="dxa" w:w="2180"/>
            <w:tcMar>
              <w:top w:type="dxa" w:w="80"/>
              <w:left w:type="dxa" w:w="100"/>
              <w:bottom w:type="dxa" w:w="80"/>
              <w:right w:type="dxa" w:w="100"/>
            </w:tcMar>
          </w:tcPr>
          <w:p>
            <w:r>
              <w:rPr>
                <w:sz w:val="20"/>
                <w:szCs w:val="20"/>
              </w:rPr>
              <w:t xml:space="preserve">Early next week</w:t>
            </w:r>
          </w:p>
        </w:tc>
      </w:tr>
      <w:tr>
        <w:tc>
          <w:tcPr>
            <w:tcW w:type="dxa" w:w="4200"/>
            <w:tcMar>
              <w:top w:type="dxa" w:w="80"/>
              <w:left w:type="dxa" w:w="100"/>
              <w:bottom w:type="dxa" w:w="80"/>
              <w:right w:type="dxa" w:w="100"/>
            </w:tcMar>
          </w:tcPr>
          <w:p>
            <w:r>
              <w:rPr>
                <w:sz w:val="20"/>
                <w:szCs w:val="20"/>
              </w:rPr>
              <w:t xml:space="preserve">Coordinate B2B microsite/landing page owner with whoever is designing the PDP-side Studio awareness experience so the two stay visually/experientially consistent.</w:t>
            </w:r>
          </w:p>
        </w:tc>
        <w:tc>
          <w:tcPr>
            <w:tcW w:type="dxa" w:w="2900"/>
            <w:tcMar>
              <w:top w:type="dxa" w:w="80"/>
              <w:left w:type="dxa" w:w="100"/>
              <w:bottom w:type="dxa" w:w="80"/>
              <w:right w:type="dxa" w:w="100"/>
            </w:tcMar>
          </w:tcPr>
          <w:p>
            <w:r>
              <w:rPr>
                <w:sz w:val="20"/>
                <w:szCs w:val="20"/>
              </w:rPr>
              <w:t xml:space="preserve">Unassigned</w:t>
            </w:r>
          </w:p>
        </w:tc>
        <w:tc>
          <w:tcPr>
            <w:tcW w:type="dxa" w:w="2180"/>
            <w:tcMar>
              <w:top w:type="dxa" w:w="80"/>
              <w:left w:type="dxa" w:w="100"/>
              <w:bottom w:type="dxa" w:w="80"/>
              <w:right w:type="dxa" w:w="100"/>
            </w:tcMar>
          </w:tcPr>
          <w:p>
            <w:r>
              <w:rPr>
                <w:sz w:val="20"/>
                <w:szCs w:val="20"/>
              </w:rPr>
              <w:t xml:space="preserve">TBD</w:t>
            </w:r>
          </w:p>
        </w:tc>
      </w:tr>
    </w:tbl>
    <w:p>
      <w:pPr>
        <w:pStyle w:val="Heading1"/>
        <w:pBdr>
          <w:bottom w:val="single" w:color="C8993A" w:sz="8" w:space="4"/>
        </w:pBdr>
        <w:spacing w:after="150" w:before="300"/>
      </w:pPr>
      <w:r>
        <w:rPr>
          <w:b/>
          <w:bCs/>
          <w:color w:val="0F1F4B"/>
          <w:sz w:val="28"/>
          <w:szCs w:val="28"/>
        </w:rPr>
        <w:t xml:space="preserve">Open Questions</w:t>
      </w:r>
    </w:p>
    <w:p>
      <w:pPr>
        <w:pStyle w:val="ListParagraph"/>
        <w:numPr>
          <w:ilvl w:val="0"/>
          <w:numId w:val="2"/>
        </w:numPr>
        <w:spacing w:after="60"/>
      </w:pPr>
      <w:r>
        <w:rPr>
          <w:sz w:val="22"/>
          <w:szCs w:val="22"/>
        </w:rPr>
        <w:t xml:space="preserve">Highlight Refinement: when a prior selection leaves only one option available on a later refinement, should that option auto-select, or should the customer still confirm it explicitly?</w:t>
      </w:r>
    </w:p>
    <w:p>
      <w:pPr>
        <w:pStyle w:val="ListParagraph"/>
        <w:numPr>
          <w:ilvl w:val="0"/>
          <w:numId w:val="2"/>
        </w:numPr>
        <w:spacing w:after="60"/>
      </w:pPr>
      <w:r>
        <w:rPr>
          <w:sz w:val="22"/>
          <w:szCs w:val="22"/>
        </w:rPr>
        <w:t xml:space="preserve">Unified Search: should search results default to New or Used when a customer is already browsing within the Used category tree versus arriving via a general/global search?</w:t>
      </w:r>
    </w:p>
    <w:p>
      <w:pPr>
        <w:pStyle w:val="ListParagraph"/>
        <w:numPr>
          <w:ilvl w:val="0"/>
          <w:numId w:val="2"/>
        </w:numPr>
        <w:spacing w:after="60"/>
      </w:pPr>
      <w:r>
        <w:rPr>
          <w:sz w:val="22"/>
          <w:szCs w:val="22"/>
        </w:rPr>
        <w:t xml:space="preserve">Unified Search: is a full New/Used tab pattern (REI-style) the right long-term model, or should a lighter-weight "scoped search" chip be pursued instead — and should both ship together or be sequenced?</w:t>
      </w:r>
    </w:p>
    <w:p>
      <w:pPr>
        <w:pStyle w:val="ListParagraph"/>
        <w:numPr>
          <w:ilvl w:val="0"/>
          <w:numId w:val="2"/>
        </w:numPr>
        <w:spacing w:after="60"/>
      </w:pPr>
      <w:r>
        <w:rPr>
          <w:sz w:val="22"/>
          <w:szCs w:val="22"/>
        </w:rPr>
        <w:t xml:space="preserve">Studio PDP: what specific price/item-type combination(s) should trigger the consultative-services CTA, and does the threshold apply to a single item, a cart/project total, or item category regardless of price?</w:t>
      </w:r>
    </w:p>
    <w:p>
      <w:pPr>
        <w:pStyle w:val="ListParagraph"/>
        <w:numPr>
          <w:ilvl w:val="0"/>
          <w:numId w:val="2"/>
        </w:numPr>
        <w:spacing w:after="60"/>
      </w:pPr>
      <w:r>
        <w:rPr>
          <w:sz w:val="22"/>
          <w:szCs w:val="22"/>
        </w:rPr>
        <w:t xml:space="preserve">Studio PDP: how should simple product questions be triaged away from genuine consultative/project inquiries, given the small size of the Studio consulting team relative to per-category product experts?</w:t>
      </w:r>
    </w:p>
    <w:p>
      <w:pPr>
        <w:pStyle w:val="ListParagraph"/>
        <w:numPr>
          <w:ilvl w:val="0"/>
          <w:numId w:val="2"/>
        </w:numPr>
        <w:spacing w:after="60"/>
      </w:pPr>
      <w:r>
        <w:rPr>
          <w:sz w:val="22"/>
          <w:szCs w:val="22"/>
        </w:rPr>
        <w:t xml:space="preserve">Studio PDP: should leads captured in-context route directly to Studio consultative staff, or should there be an intermediate qualification step before hand-off?</w:t>
      </w:r>
    </w:p>
    <w:p>
      <w:pPr>
        <w:pStyle w:val="ListParagraph"/>
        <w:numPr>
          <w:ilvl w:val="0"/>
          <w:numId w:val="2"/>
        </w:numPr>
        <w:spacing w:after="60"/>
      </w:pPr>
      <w:r>
        <w:rPr>
          <w:sz w:val="22"/>
          <w:szCs w:val="22"/>
        </w:rPr>
        <w:t xml:space="preserve">Studio Branding: will a logo refresh be required before the microsite's visual direction can be finalized, and if so, how much schedule risk does that introduce?</w:t>
      </w:r>
    </w:p>
    <w:p>
      <w:pPr>
        <w:pStyle w:val="ListParagraph"/>
        <w:numPr>
          <w:ilvl w:val="0"/>
          <w:numId w:val="2"/>
        </w:numPr>
        <w:spacing w:after="60"/>
      </w:pPr>
      <w:r>
        <w:rPr>
          <w:sz w:val="22"/>
          <w:szCs w:val="22"/>
        </w:rPr>
        <w:t xml:space="preserve">Studio Branding: is there budget/appetite to bring in an outside branding consultant, given the acknowledged lack of an internal brand guideline?</w:t>
      </w:r>
    </w:p>
    <w:p>
      <w:pPr>
        <w:pStyle w:val="Heading1"/>
        <w:pBdr>
          <w:bottom w:val="single" w:color="C8993A" w:sz="8" w:space="4"/>
        </w:pBdr>
        <w:spacing w:after="150" w:before="300"/>
      </w:pPr>
      <w:r>
        <w:rPr>
          <w:b/>
          <w:bCs/>
          <w:color w:val="0F1F4B"/>
          <w:sz w:val="28"/>
          <w:szCs w:val="28"/>
        </w:rPr>
        <w:t xml:space="preserve">Deferred / Out of Scope</w:t>
      </w:r>
    </w:p>
    <w:p>
      <w:pPr>
        <w:pStyle w:val="ListParagraph"/>
        <w:numPr>
          <w:ilvl w:val="0"/>
          <w:numId w:val="2"/>
        </w:numPr>
        <w:spacing w:after="60"/>
      </w:pPr>
      <w:r>
        <w:rPr>
          <w:sz w:val="22"/>
          <w:szCs w:val="22"/>
        </w:rPr>
        <w:t xml:space="preserve">A full guided-questionnaire redesign of the refinement experience across all categories (beyond the current Highlight Refinement ticket) — acknowledged as valuable but larger, more political, and requiring broader cross-functional alignment.</w:t>
      </w:r>
    </w:p>
    <w:p>
      <w:pPr>
        <w:pStyle w:val="ListParagraph"/>
        <w:numPr>
          <w:ilvl w:val="0"/>
          <w:numId w:val="2"/>
        </w:numPr>
        <w:spacing w:after="60"/>
      </w:pPr>
      <w:r>
        <w:rPr>
          <w:sz w:val="22"/>
          <w:szCs w:val="22"/>
        </w:rPr>
        <w:t xml:space="preserve">Category/brand landing page ("Explorer") consolidation with the Unified Search work — explicitly kept out of the current ticket's scope.</w:t>
      </w:r>
    </w:p>
    <w:p>
      <w:pPr>
        <w:pStyle w:val="ListParagraph"/>
        <w:numPr>
          <w:ilvl w:val="0"/>
          <w:numId w:val="2"/>
        </w:numPr>
        <w:spacing w:after="60"/>
      </w:pPr>
      <w:r>
        <w:rPr>
          <w:sz w:val="22"/>
          <w:szCs w:val="22"/>
        </w:rPr>
        <w:t xml:space="preserve">Full B2B ecosystem coordination between the Studio microsite, B2B Hub landing page, and hybrid listing pages — flagged as a larger ecosystem question to revisit, not resolved in this session.</w:t>
      </w:r>
    </w:p>
    <w:p>
      <w:pPr>
        <w:pStyle w:val="ListParagraph"/>
        <w:numPr>
          <w:ilvl w:val="0"/>
          <w:numId w:val="2"/>
        </w:numPr>
        <w:spacing w:after="60"/>
      </w:pPr>
      <w:r>
        <w:rPr>
          <w:sz w:val="22"/>
          <w:szCs w:val="22"/>
        </w:rPr>
        <w:t xml:space="preserve">Final decision on Studio logo change — deferred to the planned 1:1 conversation with Daniela Garcia.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2026-08-26T16:40:05.874Z</dcterms:created>
  <dcterms:modified xsi:type="dcterms:W3CDTF">2026-08-26T16:40:05.887Z</dcterms:modified>
</cp:coreProperties>
</file>

<file path=docProps/custom.xml><?xml version="1.0" encoding="utf-8"?>
<Properties xmlns="http://schemas.openxmlformats.org/officeDocument/2006/custom-properties" xmlns:vt="http://schemas.openxmlformats.org/officeDocument/2006/docPropsVTypes"/>
</file>