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F4B"/>
          <w:sz w:val="36"/>
          <w:szCs w:val="36"/>
        </w:rPr>
        <w:t xml:space="preserve">Used Department — BI Metrics Discovery Interview</w:t>
      </w:r>
    </w:p>
    <w:p>
      <w:pPr>
        <w:spacing w:after="40"/>
      </w:pPr>
      <w:r>
        <w:rPr>
          <w:b/>
          <w:bCs/>
          <w:color w:val="C8993A"/>
          <w:sz w:val="24"/>
          <w:szCs w:val="24"/>
        </w:rPr>
        <w:t xml:space="preserve">Meeting Notes &amp; Next Steps</w:t>
      </w:r>
    </w:p>
    <w:p>
      <w:pPr>
        <w:spacing w:after="300"/>
      </w:pPr>
      <w:r>
        <w:rPr>
          <w:i/>
          <w:iCs/>
          <w:color w:val="595959"/>
          <w:sz w:val="18"/>
          <w:szCs w:val="18"/>
        </w:rPr>
        <w:t xml:space="preserve">Source recording: Jul_27_at_3-05_PM  |  Notes prepared: August 6, 2026</w:t>
      </w:r>
    </w:p>
    <w:p>
      <w:pPr>
        <w:spacing w:after="200"/>
      </w:pPr>
      <w:r>
        <w:rPr>
          <w:i/>
          <w:iCs/>
          <w:color w:val="595959"/>
          <w:sz w:val="20"/>
          <w:szCs w:val="20"/>
        </w:rPr>
        <w:t xml:space="preserve">Note on attribution: This meeting was auto-transcribed and speaker labels are frequently garbled or absent in the source. Statements below are grouped by inferred speaker/role based on context (Fred Lemonthal – Contact Center/Eval Lead, Isaac Mittelman – Director of Used, Avi Schwartz – Customer Care Manager, and two additional Used ops/warehouse voices referred to in the recording as "Moshi"/similar and "Haim"). Treat all name attributions as provisional pending confirmation.</w:t>
      </w:r>
    </w:p>
    <w:p>
      <w:pPr>
        <w:pStyle w:val="Heading1"/>
        <w:pBdr>
          <w:bottom w:val="single" w:color="C8993A" w:sz="8" w:space="4"/>
        </w:pBdr>
        <w:spacing w:after="160" w:before="320"/>
      </w:pPr>
      <w:r>
        <w:rPr>
          <w:b/>
          <w:bCs/>
          <w:color w:val="0F1F4B"/>
          <w:sz w:val="28"/>
          <w:szCs w:val="28"/>
        </w:rPr>
        <w:t xml:space="preserve">Executive Summary</w:t>
      </w:r>
    </w:p>
    <w:p>
      <w:pPr>
        <w:spacing w:after="120"/>
      </w:pPr>
      <w:r>
        <w:rPr>
          <w:i w:val="false"/>
          <w:iCs w:val="false"/>
          <w:color w:val="000000"/>
          <w:sz w:val="22"/>
          <w:szCs w:val="22"/>
        </w:rPr>
        <w:t xml:space="preserve">A BI team representative ran the first of what is expected to be a series of discovery interviews with Used department leads (Contact Center, evaluations/warehouse, customer care, and Isaac Mittelman) to inform a future cross-departmental BI dashboard. Rather than asking directly for a list of metrics, the facilitator used open-ended "soft questions" designed to surface what leads actually need to run the business day-to-day versus judge the health of the business over time.</w:t>
      </w:r>
    </w:p>
    <w:p>
      <w:pPr>
        <w:spacing w:after="120"/>
      </w:pPr>
      <w:r>
        <w:rPr>
          <w:i w:val="false"/>
          <w:iCs w:val="false"/>
          <w:color w:val="000000"/>
          <w:sz w:val="22"/>
          <w:szCs w:val="22"/>
        </w:rPr>
        <w:t xml:space="preserve">Recurring themes: (1) a persistent gap between "running" (real-time, reactive, staffing/bandwidth-driven) and "judging" (retrospective, aggregate health) metrics; (2) fragmented, hard-to-access reporting with no centralized BI request owner since a prior process changed; (3) missing visibility into IVR call routing/source, category-level defect and quote-rejection rates, and true employee throughput/productivity given heavy task-switching; (4) recurring "surprise" spikes caused by other teams (e.g., Used promo email blasts, pricing changes) launching without advance notice to Contact Center or Warehouse; and (5) an unproven but widely-held belief that B&amp;H's used service/quality already leads competitors (MPB, KEH), which the team can't currently substantiate without a dedicated survey.</w:t>
      </w:r>
    </w:p>
    <w:p>
      <w:pPr>
        <w:spacing w:after="120"/>
      </w:pPr>
      <w:r>
        <w:rPr>
          <w:i w:val="false"/>
          <w:iCs w:val="false"/>
          <w:color w:val="000000"/>
          <w:sz w:val="22"/>
          <w:szCs w:val="22"/>
        </w:rPr>
        <w:t xml:space="preserve">This was explicitly framed as exploratory ("Blue Sky") and not a commitment to specific metrics or a dashboard design. Next planned session(s): review the existing report inventory to identify what's used vs. "junk," followed by a session where BI presents a strawman dashboard synthesized from these interviews, past sessions, and industry benchmarks.</w:t>
      </w:r>
    </w:p>
    <w:p>
      <w:pPr>
        <w:pStyle w:val="Heading1"/>
        <w:pBdr>
          <w:bottom w:val="single" w:color="C8993A" w:sz="8" w:space="4"/>
        </w:pBdr>
        <w:spacing w:after="160" w:before="320"/>
      </w:pPr>
      <w:r>
        <w:rPr>
          <w:b/>
          <w:bCs/>
          <w:color w:val="0F1F4B"/>
          <w:sz w:val="28"/>
          <w:szCs w:val="28"/>
        </w:rPr>
        <w:t xml:space="preserve">Detailed Notes by Topic</w:t>
      </w:r>
    </w:p>
    <w:p>
      <w:pPr>
        <w:pStyle w:val="Heading2"/>
        <w:spacing w:after="120" w:before="240"/>
      </w:pPr>
      <w:r>
        <w:rPr>
          <w:b/>
          <w:bCs/>
          <w:color w:val="0F1F4B"/>
          <w:sz w:val="24"/>
          <w:szCs w:val="24"/>
        </w:rPr>
        <w:t xml:space="preserve">1. Meeting Purpose &amp; Framing</w:t>
      </w:r>
    </w:p>
    <w:p>
      <w:pPr>
        <w:pStyle w:val="ListParagraph"/>
        <w:numPr>
          <w:ilvl w:val="0"/>
          <w:numId w:val="2"/>
        </w:numPr>
        <w:spacing w:after="80"/>
      </w:pPr>
      <w:r>
        <w:rPr>
          <w:sz w:val="22"/>
          <w:szCs w:val="22"/>
        </w:rPr>
        <w:t xml:space="preserve">BI team has been asked to help build a dashboard(s) that multiple departments can use daily to feel they have insight to do their jobs better — this is separate from a parallel, more binary audit of existing Cognos reports (usage/adoption).</w:t>
      </w:r>
    </w:p>
    <w:p>
      <w:pPr>
        <w:pStyle w:val="ListParagraph"/>
        <w:numPr>
          <w:ilvl w:val="0"/>
          <w:numId w:val="2"/>
        </w:numPr>
        <w:spacing w:after="80"/>
      </w:pPr>
      <w:r>
        <w:rPr>
          <w:sz w:val="22"/>
          <w:szCs w:val="22"/>
        </w:rPr>
        <w:t xml:space="preserve">Facilitator deliberately avoided asking for a metrics list; goal is to understand real underlying needs first, distinguishing "running the business" (today, operational, reactive) from "judging the business" (retrospective, aggregate health).</w:t>
      </w:r>
    </w:p>
    <w:p>
      <w:pPr>
        <w:pStyle w:val="ListParagraph"/>
        <w:numPr>
          <w:ilvl w:val="0"/>
          <w:numId w:val="2"/>
        </w:numPr>
        <w:spacing w:after="80"/>
      </w:pPr>
      <w:r>
        <w:rPr>
          <w:sz w:val="22"/>
          <w:szCs w:val="22"/>
        </w:rPr>
        <w:t xml:space="preserve">Referenced a prior interview with a 4th-floor Customer Support manager who described receiving many detailed reports but lacking the time to read and act on them — motivating the idea of a small number of roll-up metrics that link/drill down into underlying detail.</w:t>
      </w:r>
    </w:p>
    <w:p>
      <w:pPr>
        <w:pStyle w:val="ListParagraph"/>
        <w:numPr>
          <w:ilvl w:val="0"/>
          <w:numId w:val="2"/>
        </w:numPr>
        <w:spacing w:after="80"/>
      </w:pPr>
      <w:r>
        <w:rPr>
          <w:sz w:val="22"/>
          <w:szCs w:val="22"/>
        </w:rPr>
        <w:t xml:space="preserve">Session was recorded rather than manually noted due to volume of information.</w:t>
      </w:r>
    </w:p>
    <w:p>
      <w:pPr>
        <w:pStyle w:val="Heading2"/>
        <w:spacing w:after="120" w:before="240"/>
      </w:pPr>
      <w:r>
        <w:rPr>
          <w:b/>
          <w:bCs/>
          <w:color w:val="0F1F4B"/>
          <w:sz w:val="24"/>
          <w:szCs w:val="24"/>
        </w:rPr>
        <w:t xml:space="preserve">2. "One Number" — Judge the Business vs. Run the Business</w:t>
      </w:r>
    </w:p>
    <w:p>
      <w:pPr>
        <w:spacing w:after="120"/>
      </w:pPr>
      <w:r>
        <w:rPr>
          <w:i/>
          <w:iCs/>
          <w:color w:val="000000"/>
          <w:sz w:val="22"/>
          <w:szCs w:val="22"/>
        </w:rPr>
        <w:t xml:space="preserve">Facilitator asked each participant: if you could see only one number every morning that told you the department was healthy (judge), and separately, one number that helps you run the business today, what would they be?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tblGrid>
      <w:tr>
        <w:trPr>
          <w:tblHeader/>
        </w:trPr>
        <w:tc>
          <w:tcPr>
            <w:tcW w:type="dxa" w:w="1900"/>
            <w:shd w:fill="0F1F4B" w:color="auto" w:val="clear"/>
            <w:tcMar>
              <w:top w:type="dxa" w:w="80"/>
              <w:left w:type="dxa" w:w="100"/>
              <w:bottom w:type="dxa" w:w="80"/>
              <w:right w:type="dxa" w:w="100"/>
            </w:tcMar>
          </w:tcPr>
          <w:p>
            <w:r>
              <w:rPr>
                <w:b/>
                <w:bCs/>
                <w:color w:val="FFFFFF"/>
                <w:sz w:val="20"/>
                <w:szCs w:val="20"/>
              </w:rPr>
              <w:t xml:space="preserve">Speaker (provisional)</w:t>
            </w:r>
          </w:p>
        </w:tc>
        <w:tc>
          <w:tcPr>
            <w:tcW w:type="dxa" w:w="3700"/>
            <w:shd w:fill="0F1F4B" w:color="auto" w:val="clear"/>
            <w:tcMar>
              <w:top w:type="dxa" w:w="80"/>
              <w:left w:type="dxa" w:w="100"/>
              <w:bottom w:type="dxa" w:w="80"/>
              <w:right w:type="dxa" w:w="100"/>
            </w:tcMar>
          </w:tcPr>
          <w:p>
            <w:r>
              <w:rPr>
                <w:b/>
                <w:bCs/>
                <w:color w:val="FFFFFF"/>
                <w:sz w:val="20"/>
                <w:szCs w:val="20"/>
              </w:rPr>
              <w:t xml:space="preserve">Judge the business (health)</w:t>
            </w:r>
          </w:p>
        </w:tc>
        <w:tc>
          <w:tcPr>
            <w:tcW w:type="dxa" w:w="3700"/>
            <w:shd w:fill="0F1F4B" w:color="auto" w:val="clear"/>
            <w:tcMar>
              <w:top w:type="dxa" w:w="80"/>
              <w:left w:type="dxa" w:w="100"/>
              <w:bottom w:type="dxa" w:w="80"/>
              <w:right w:type="dxa" w:w="100"/>
            </w:tcMar>
          </w:tcPr>
          <w:p>
            <w:r>
              <w:rPr>
                <w:b/>
                <w:bCs/>
                <w:color w:val="FFFFFF"/>
                <w:sz w:val="20"/>
                <w:szCs w:val="20"/>
              </w:rPr>
              <w:t xml:space="preserve">Run the business (today)</w:t>
            </w:r>
          </w:p>
        </w:tc>
      </w:tr>
      <w:tr>
        <w:tc>
          <w:tcPr>
            <w:tcW w:type="dxa" w:w="1900"/>
            <w:shd w:fill="F7F8FC" w:color="auto" w:val="clear"/>
            <w:tcMar>
              <w:top w:type="dxa" w:w="80"/>
              <w:left w:type="dxa" w:w="100"/>
              <w:bottom w:type="dxa" w:w="80"/>
              <w:right w:type="dxa" w:w="100"/>
            </w:tcMar>
          </w:tcPr>
          <w:p>
            <w:r>
              <w:rPr>
                <w:sz w:val="20"/>
                <w:szCs w:val="20"/>
              </w:rPr>
              <w:t xml:space="preserve">Fred (Contact Center)</w:t>
            </w:r>
          </w:p>
        </w:tc>
        <w:tc>
          <w:tcPr>
            <w:tcW w:type="dxa" w:w="3700"/>
            <w:shd w:fill="F7F8FC" w:color="auto" w:val="clear"/>
            <w:tcMar>
              <w:top w:type="dxa" w:w="80"/>
              <w:left w:type="dxa" w:w="100"/>
              <w:bottom w:type="dxa" w:w="80"/>
              <w:right w:type="dxa" w:w="100"/>
            </w:tcMar>
          </w:tcPr>
          <w:p>
            <w:r>
              <w:rPr>
                <w:sz w:val="20"/>
                <w:szCs w:val="20"/>
              </w:rPr>
              <w:t xml:space="preserve">Lost calls (also wants lost chats and emails delayed past SLA/business-hours threshold)</w:t>
            </w:r>
          </w:p>
        </w:tc>
        <w:tc>
          <w:tcPr>
            <w:tcW w:type="dxa" w:w="3700"/>
            <w:shd w:fill="F7F8FC" w:color="auto" w:val="clear"/>
            <w:tcMar>
              <w:top w:type="dxa" w:w="80"/>
              <w:left w:type="dxa" w:w="100"/>
              <w:bottom w:type="dxa" w:w="80"/>
              <w:right w:type="dxa" w:w="100"/>
            </w:tcMar>
          </w:tcPr>
          <w:p>
            <w:r>
              <w:rPr>
                <w:sz w:val="20"/>
                <w:szCs w:val="20"/>
              </w:rPr>
              <w:t xml:space="preserve">Current queue volume — how much work (emails/chats) is waiting, staffing on hand</w:t>
            </w:r>
          </w:p>
        </w:tc>
      </w:tr>
      <w:tr>
        <w:tc>
          <w:tcPr>
            <w:tcW w:type="dxa" w:w="1900"/>
            <w:shd w:fill="FFFFFF" w:color="auto" w:val="clear"/>
            <w:tcMar>
              <w:top w:type="dxa" w:w="80"/>
              <w:left w:type="dxa" w:w="100"/>
              <w:bottom w:type="dxa" w:w="80"/>
              <w:right w:type="dxa" w:w="100"/>
            </w:tcMar>
          </w:tcPr>
          <w:p>
            <w:r>
              <w:rPr>
                <w:sz w:val="20"/>
                <w:szCs w:val="20"/>
              </w:rPr>
              <w:t xml:space="preserve">"Moshi" (Evaluations)</w:t>
            </w:r>
          </w:p>
        </w:tc>
        <w:tc>
          <w:tcPr>
            <w:tcW w:type="dxa" w:w="3700"/>
            <w:shd w:fill="FFFFFF" w:color="auto" w:val="clear"/>
            <w:tcMar>
              <w:top w:type="dxa" w:w="80"/>
              <w:left w:type="dxa" w:w="100"/>
              <w:bottom w:type="dxa" w:w="80"/>
              <w:right w:type="dxa" w:w="100"/>
            </w:tcMar>
          </w:tcPr>
          <w:p>
            <w:r>
              <w:rPr>
                <w:sz w:val="20"/>
                <w:szCs w:val="20"/>
              </w:rPr>
              <w:t xml:space="preserve">Multiple: productivity/throughput vs. expected, missed hours, return rate on purchased gear</w:t>
            </w:r>
          </w:p>
        </w:tc>
        <w:tc>
          <w:tcPr>
            <w:tcW w:type="dxa" w:w="3700"/>
            <w:shd w:fill="FFFFFF" w:color="auto" w:val="clear"/>
            <w:tcMar>
              <w:top w:type="dxa" w:w="80"/>
              <w:left w:type="dxa" w:w="100"/>
              <w:bottom w:type="dxa" w:w="80"/>
              <w:right w:type="dxa" w:w="100"/>
            </w:tcMar>
          </w:tcPr>
          <w:p>
            <w:r>
              <w:rPr>
                <w:sz w:val="20"/>
                <w:szCs w:val="20"/>
              </w:rPr>
              <w:t xml:space="preserve">Quotes created; what's in the evaluation pipeline coming in</w:t>
            </w:r>
          </w:p>
        </w:tc>
      </w:tr>
      <w:tr>
        <w:tc>
          <w:tcPr>
            <w:tcW w:type="dxa" w:w="1900"/>
            <w:shd w:fill="F7F8FC" w:color="auto" w:val="clear"/>
            <w:tcMar>
              <w:top w:type="dxa" w:w="80"/>
              <w:left w:type="dxa" w:w="100"/>
              <w:bottom w:type="dxa" w:w="80"/>
              <w:right w:type="dxa" w:w="100"/>
            </w:tcMar>
          </w:tcPr>
          <w:p>
            <w:r>
              <w:rPr>
                <w:sz w:val="20"/>
                <w:szCs w:val="20"/>
              </w:rPr>
              <w:t xml:space="preserve">Haim (Store/Warehouse/Evaluators)</w:t>
            </w:r>
          </w:p>
        </w:tc>
        <w:tc>
          <w:tcPr>
            <w:tcW w:type="dxa" w:w="3700"/>
            <w:shd w:fill="F7F8FC" w:color="auto" w:val="clear"/>
            <w:tcMar>
              <w:top w:type="dxa" w:w="80"/>
              <w:left w:type="dxa" w:w="100"/>
              <w:bottom w:type="dxa" w:w="80"/>
              <w:right w:type="dxa" w:w="100"/>
            </w:tcMar>
          </w:tcPr>
          <w:p>
            <w:r>
              <w:rPr>
                <w:sz w:val="20"/>
                <w:szCs w:val="20"/>
              </w:rPr>
              <w:t xml:space="preserve">Total "transactions" across store, warehouse, and evaluators, tracked week-over-week/month-over-month</w:t>
            </w:r>
          </w:p>
        </w:tc>
        <w:tc>
          <w:tcPr>
            <w:tcW w:type="dxa" w:w="3700"/>
            <w:shd w:fill="F7F8FC" w:color="auto" w:val="clear"/>
            <w:tcMar>
              <w:top w:type="dxa" w:w="80"/>
              <w:left w:type="dxa" w:w="100"/>
              <w:bottom w:type="dxa" w:w="80"/>
              <w:right w:type="dxa" w:w="100"/>
            </w:tcMar>
          </w:tcPr>
          <w:p>
            <w:r>
              <w:rPr>
                <w:sz w:val="20"/>
                <w:szCs w:val="20"/>
              </w:rPr>
              <w:t xml:space="preserve">Store foot traffic and warehouse orders shipped vs. same period prior year</w:t>
            </w:r>
          </w:p>
        </w:tc>
      </w:tr>
      <w:tr>
        <w:tc>
          <w:tcPr>
            <w:tcW w:type="dxa" w:w="1900"/>
            <w:shd w:fill="FFFFFF" w:color="auto" w:val="clear"/>
            <w:tcMar>
              <w:top w:type="dxa" w:w="80"/>
              <w:left w:type="dxa" w:w="100"/>
              <w:bottom w:type="dxa" w:w="80"/>
              <w:right w:type="dxa" w:w="100"/>
            </w:tcMar>
          </w:tcPr>
          <w:p>
            <w:r>
              <w:rPr>
                <w:sz w:val="20"/>
                <w:szCs w:val="20"/>
              </w:rPr>
              <w:t xml:space="preserve">Isaac (Director)</w:t>
            </w:r>
          </w:p>
        </w:tc>
        <w:tc>
          <w:tcPr>
            <w:tcW w:type="dxa" w:w="3700"/>
            <w:shd w:fill="FFFFFF" w:color="auto" w:val="clear"/>
            <w:tcMar>
              <w:top w:type="dxa" w:w="80"/>
              <w:left w:type="dxa" w:w="100"/>
              <w:bottom w:type="dxa" w:w="80"/>
              <w:right w:type="dxa" w:w="100"/>
            </w:tcMar>
          </w:tcPr>
          <w:p>
            <w:r>
              <w:rPr>
                <w:sz w:val="20"/>
                <w:szCs w:val="20"/>
              </w:rPr>
              <w:t xml:space="preserve">Monthly: total inbound non-binding quotes, total sales, total reports, profit/quality</w:t>
            </w:r>
          </w:p>
        </w:tc>
        <w:tc>
          <w:tcPr>
            <w:tcW w:type="dxa" w:w="3700"/>
            <w:shd w:fill="FFFFFF" w:color="auto" w:val="clear"/>
            <w:tcMar>
              <w:top w:type="dxa" w:w="80"/>
              <w:left w:type="dxa" w:w="100"/>
              <w:bottom w:type="dxa" w:w="80"/>
              <w:right w:type="dxa" w:w="100"/>
            </w:tcMar>
          </w:tcPr>
          <w:p>
            <w:r>
              <w:rPr>
                <w:sz w:val="20"/>
                <w:szCs w:val="20"/>
              </w:rPr>
              <w:t xml:space="preserve">Daily, an aggregate/roll-up of each team lead's own primary number; reactive to highest-priority issue (upset customer, emergency, system outage)</w:t>
            </w:r>
          </w:p>
        </w:tc>
      </w:tr>
    </w:tbl>
    <w:p>
      <w:pPr>
        <w:spacing w:after="120"/>
      </w:pPr>
      <w:r>
        <w:rPr>
          <w:i w:val="false"/>
          <w:iCs w:val="false"/>
          <w:color w:val="000000"/>
          <w:sz w:val="22"/>
          <w:szCs w:val="22"/>
        </w:rPr>
        <w:t xml:space="preserve"/>
      </w:r>
    </w:p>
    <w:p>
      <w:pPr>
        <w:spacing w:after="120"/>
      </w:pPr>
      <w:r>
        <w:rPr>
          <w:i/>
          <w:iCs/>
          <w:color w:val="000000"/>
          <w:sz w:val="22"/>
          <w:szCs w:val="22"/>
        </w:rPr>
        <w:t xml:space="preserve">Facilitator's synthesis: "running" answers skewed reactive/prioritization-driven (what needs attention right now), while "judging" answers skewed toward retrospective aggregates and trend lines.</w:t>
      </w:r>
    </w:p>
    <w:p>
      <w:pPr>
        <w:pStyle w:val="Heading2"/>
        <w:spacing w:after="120" w:before="240"/>
      </w:pPr>
      <w:r>
        <w:rPr>
          <w:b/>
          <w:bCs/>
          <w:color w:val="0F1F4B"/>
          <w:sz w:val="24"/>
          <w:szCs w:val="24"/>
        </w:rPr>
        <w:t xml:space="preserve">3. Decisions That Lacked Good Data Last Quarter</w:t>
      </w:r>
    </w:p>
    <w:p>
      <w:pPr>
        <w:pStyle w:val="ListParagraph"/>
        <w:numPr>
          <w:ilvl w:val="0"/>
          <w:numId w:val="2"/>
        </w:numPr>
        <w:spacing w:after="80"/>
      </w:pPr>
      <w:r>
        <w:rPr>
          <w:sz w:val="22"/>
          <w:szCs w:val="22"/>
        </w:rPr>
        <w:t xml:space="preserve">Fred: Contact Center previously had a simple, trusted lost-chats metric (e.g., "100 chats in, 10 lost") that was discontinued for technical reasons; team is now improvising with average response time and abandoned-chat counts, which feel less reliable.</w:t>
      </w:r>
    </w:p>
    <w:p>
      <w:pPr>
        <w:pStyle w:val="ListParagraph"/>
        <w:numPr>
          <w:ilvl w:val="0"/>
          <w:numId w:val="2"/>
        </w:numPr>
        <w:spacing w:after="80"/>
      </w:pPr>
      <w:r>
        <w:rPr>
          <w:sz w:val="22"/>
          <w:szCs w:val="22"/>
        </w:rPr>
        <w:t xml:space="preserve">Isaac/other: Reports exist but often lack drill-down detail; requests to BI take too long and there's no longer a single centralized BI request owner — now everyone submits their own requests and some sit unresolved for weeks.</w:t>
      </w:r>
    </w:p>
    <w:p>
      <w:pPr>
        <w:pStyle w:val="ListParagraph"/>
        <w:numPr>
          <w:ilvl w:val="0"/>
          <w:numId w:val="2"/>
        </w:numPr>
        <w:spacing w:after="80"/>
      </w:pPr>
      <w:r>
        <w:rPr>
          <w:sz w:val="22"/>
          <w:szCs w:val="22"/>
        </w:rPr>
        <w:t xml:space="preserve">Missing clarity on internal vs. customer-originated missed calls in the queue (agents calling out register as missed calls, muddying the data).</w:t>
      </w:r>
    </w:p>
    <w:p>
      <w:pPr>
        <w:pStyle w:val="ListParagraph"/>
        <w:numPr>
          <w:ilvl w:val="0"/>
          <w:numId w:val="2"/>
        </w:numPr>
        <w:spacing w:after="80"/>
      </w:pPr>
      <w:r>
        <w:rPr>
          <w:sz w:val="22"/>
          <w:szCs w:val="22"/>
        </w:rPr>
        <w:t xml:space="preserve">No clear escalation path / documented ownership for who to contact when specific issue types arise (e.g., returns).</w:t>
      </w:r>
    </w:p>
    <w:p>
      <w:pPr>
        <w:pStyle w:val="Heading2"/>
        <w:spacing w:after="120" w:before="240"/>
      </w:pPr>
      <w:r>
        <w:rPr>
          <w:b/>
          <w:bCs/>
          <w:color w:val="0F1F4B"/>
          <w:sz w:val="24"/>
          <w:szCs w:val="24"/>
        </w:rPr>
        <w:t xml:space="preserve">4. Specific Data Gaps Identified</w:t>
      </w:r>
    </w:p>
    <w:p>
      <w:pPr>
        <w:pStyle w:val="ListParagraph"/>
        <w:numPr>
          <w:ilvl w:val="0"/>
          <w:numId w:val="2"/>
        </w:numPr>
        <w:spacing w:after="80"/>
      </w:pPr>
      <w:r>
        <w:rPr>
          <w:sz w:val="22"/>
          <w:szCs w:val="22"/>
        </w:rPr>
        <w:t xml:space="preserve">IVR call source and routing — no visibility into which department/channel an inbound call originated from or was transferred through; can't see this holistically today.</w:t>
      </w:r>
    </w:p>
    <w:p>
      <w:pPr>
        <w:pStyle w:val="ListParagraph"/>
        <w:numPr>
          <w:ilvl w:val="0"/>
          <w:numId w:val="2"/>
        </w:numPr>
        <w:spacing w:after="80"/>
      </w:pPr>
      <w:r>
        <w:rPr>
          <w:sz w:val="22"/>
          <w:szCs w:val="22"/>
        </w:rPr>
        <w:t xml:space="preserve">Category-level defect/return data — example cited: a wave of complaints about a printer model, and a prior decision to stop selling new TVs after concluding a high share of TV returns were due to customer mishandling. Team wants data to confirm whether an issue is isolated to specific SKUs/categories rather than relying on anecdote.</w:t>
      </w:r>
    </w:p>
    <w:p>
      <w:pPr>
        <w:pStyle w:val="ListParagraph"/>
        <w:numPr>
          <w:ilvl w:val="0"/>
          <w:numId w:val="2"/>
        </w:numPr>
        <w:spacing w:after="80"/>
      </w:pPr>
      <w:r>
        <w:rPr>
          <w:sz w:val="22"/>
          <w:szCs w:val="22"/>
        </w:rPr>
        <w:t xml:space="preserve">Quote-rejection rates by category/evaluator — team has started but not completed work to quantify what share of quotes are rejected by category, to make buy-offer pricing more data-driven (e.g., certain camera models reliably need repair before resale, which should inform the offer amount rather than being decided on "feel").</w:t>
      </w:r>
    </w:p>
    <w:p>
      <w:pPr>
        <w:pStyle w:val="ListParagraph"/>
        <w:numPr>
          <w:ilvl w:val="0"/>
          <w:numId w:val="2"/>
        </w:numPr>
        <w:spacing w:after="80"/>
      </w:pPr>
      <w:r>
        <w:rPr>
          <w:sz w:val="22"/>
          <w:szCs w:val="22"/>
        </w:rPr>
        <w:t xml:space="preserve">Web/UX experiment impact — desire to compare page conversion and behavior (e.g., via FullStory) before/after a launched change, rather than relying on subjective impressions from different teams.</w:t>
      </w:r>
    </w:p>
    <w:p>
      <w:pPr>
        <w:pStyle w:val="Heading2"/>
        <w:spacing w:after="120" w:before="240"/>
      </w:pPr>
      <w:r>
        <w:rPr>
          <w:b/>
          <w:bCs/>
          <w:color w:val="0F1F4B"/>
          <w:sz w:val="24"/>
          <w:szCs w:val="24"/>
        </w:rPr>
        <w:t xml:space="preserve">5. Beliefs the Team Holds but Can't Prove</w:t>
      </w:r>
    </w:p>
    <w:p>
      <w:pPr>
        <w:pStyle w:val="ListParagraph"/>
        <w:numPr>
          <w:ilvl w:val="0"/>
          <w:numId w:val="2"/>
        </w:numPr>
        <w:spacing w:after="80"/>
      </w:pPr>
      <w:r>
        <w:rPr>
          <w:sz w:val="22"/>
          <w:szCs w:val="22"/>
        </w:rPr>
        <w:t xml:space="preserve">That recent staffing and process changes (e.g., added CS headcount, warehouse process tweaks, condition-code effort) have had a real positive business impact — the effort is remembered, but impact is not measured or tied back to outcomes.</w:t>
      </w:r>
    </w:p>
    <w:p>
      <w:pPr>
        <w:pStyle w:val="ListParagraph"/>
        <w:numPr>
          <w:ilvl w:val="0"/>
          <w:numId w:val="2"/>
        </w:numPr>
        <w:spacing w:after="80"/>
      </w:pPr>
      <w:r>
        <w:rPr>
          <w:sz w:val="22"/>
          <w:szCs w:val="22"/>
        </w:rPr>
        <w:t xml:space="preserve">That employees performing highly varied, frequently interrupted work (calls, chats, emails, research, in-person/store interactions) are not fairly measured — no metric captures productivity loss from constant task-switching, and current employee evaluation feels incomplete (a mix of many unweighted factors: quality, CSAT, teamwork, etc.).</w:t>
      </w:r>
    </w:p>
    <w:p>
      <w:pPr>
        <w:pStyle w:val="ListParagraph"/>
        <w:numPr>
          <w:ilvl w:val="0"/>
          <w:numId w:val="2"/>
        </w:numPr>
        <w:spacing w:after="80"/>
      </w:pPr>
      <w:r>
        <w:rPr>
          <w:sz w:val="22"/>
          <w:szCs w:val="22"/>
        </w:rPr>
        <w:t xml:space="preserve">That B&amp;H's used customers (buying or selling) receive best-in-class service and product quality versus competitors like MPB and KEH — strongly believed but not substantiated; would require a dedicated survey (e.g., 100 customers) or reliable third-party benchmark (NPS) rather than assumption.</w:t>
      </w:r>
    </w:p>
    <w:p>
      <w:pPr>
        <w:pStyle w:val="ListParagraph"/>
        <w:numPr>
          <w:ilvl w:val="0"/>
          <w:numId w:val="2"/>
        </w:numPr>
        <w:spacing w:after="80"/>
      </w:pPr>
      <w:r>
        <w:rPr>
          <w:sz w:val="22"/>
          <w:szCs w:val="22"/>
        </w:rPr>
        <w:t xml:space="preserve">Facilitator noted a planned question comparing what MPB/KEH can see about themselves that B&amp;H can't was skipped in this session as too speculative, but flagged for a future session.</w:t>
      </w:r>
    </w:p>
    <w:p>
      <w:pPr>
        <w:pStyle w:val="Heading2"/>
        <w:spacing w:after="120" w:before="240"/>
      </w:pPr>
      <w:r>
        <w:rPr>
          <w:b/>
          <w:bCs/>
          <w:color w:val="0F1F4B"/>
          <w:sz w:val="24"/>
          <w:szCs w:val="24"/>
        </w:rPr>
        <w:t xml:space="preserve">6. "If the Department Doubled Next Year" — Stress Test</w:t>
      </w:r>
    </w:p>
    <w:p>
      <w:pPr>
        <w:spacing w:after="120"/>
      </w:pPr>
      <w:r>
        <w:rPr>
          <w:i/>
          <w:iCs/>
          <w:color w:val="000000"/>
          <w:sz w:val="22"/>
          <w:szCs w:val="22"/>
        </w:rPr>
        <w:t xml:space="preserve">Framed intentionally vaguely to surface each leader's instinctive focus area.</w:t>
      </w:r>
    </w:p>
    <w:p>
      <w:pPr>
        <w:pStyle w:val="ListParagraph"/>
        <w:numPr>
          <w:ilvl w:val="0"/>
          <w:numId w:val="2"/>
        </w:numPr>
        <w:spacing w:after="80"/>
      </w:pPr>
      <w:r>
        <w:rPr>
          <w:sz w:val="22"/>
          <w:szCs w:val="22"/>
        </w:rPr>
        <w:t xml:space="preserve">Group consensus path: incoming quotes/evaluations double first → evaluation turnaround time breaks first → this cascades into phone service degradation (lost calls) as the same limited staff absorbs more volume.</w:t>
      </w:r>
    </w:p>
    <w:p>
      <w:pPr>
        <w:pStyle w:val="ListParagraph"/>
        <w:numPr>
          <w:ilvl w:val="0"/>
          <w:numId w:val="2"/>
        </w:numPr>
        <w:spacing w:after="80"/>
      </w:pPr>
      <w:r>
        <w:rPr>
          <w:sz w:val="22"/>
          <w:szCs w:val="22"/>
        </w:rPr>
        <w:t xml:space="preserve">Introduced the concept of throughput as an explicit, defined expectation per role (e.g., evaluator ≈ 50 quotes or 70 items/day; warehouse picker ≈ 120 lines/day; agent-level email/call volume targets) — comparing actual vs. expected throughput is proposed as the mechanism for objectively justifying headcount requests, replacing ad hoc judgment calls.</w:t>
      </w:r>
    </w:p>
    <w:p>
      <w:pPr>
        <w:pStyle w:val="ListParagraph"/>
        <w:numPr>
          <w:ilvl w:val="0"/>
          <w:numId w:val="2"/>
        </w:numPr>
        <w:spacing w:after="80"/>
      </w:pPr>
      <w:r>
        <w:rPr>
          <w:sz w:val="22"/>
          <w:szCs w:val="22"/>
        </w:rPr>
        <w:t xml:space="preserve">Broader ripple effects acknowledged (returns volume, store traffic) but seen as secondary to the evaluation/phone service bottleneck.</w:t>
      </w:r>
    </w:p>
    <w:p>
      <w:pPr>
        <w:pStyle w:val="Heading2"/>
        <w:spacing w:after="120" w:before="240"/>
      </w:pPr>
      <w:r>
        <w:rPr>
          <w:b/>
          <w:bCs/>
          <w:color w:val="0F1F4B"/>
          <w:sz w:val="24"/>
          <w:szCs w:val="24"/>
        </w:rPr>
        <w:t xml:space="preserve">7. Where Teams Get Surprised (Leading vs. Lagging Indicators)</w:t>
      </w:r>
    </w:p>
    <w:p>
      <w:pPr>
        <w:spacing w:after="120"/>
      </w:pPr>
      <w:r>
        <w:rPr>
          <w:i/>
          <w:iCs/>
          <w:color w:val="000000"/>
          <w:sz w:val="22"/>
          <w:szCs w:val="22"/>
        </w:rPr>
        <w:t xml:space="preserve">Explicit framing: a lagging indicator tells you something already happened; a leading indicator would let you see it coming.</w:t>
      </w:r>
    </w:p>
    <w:p>
      <w:pPr>
        <w:pStyle w:val="ListParagraph"/>
        <w:numPr>
          <w:ilvl w:val="0"/>
          <w:numId w:val="2"/>
        </w:numPr>
        <w:spacing w:after="80"/>
      </w:pPr>
      <w:r>
        <w:rPr>
          <w:sz w:val="22"/>
          <w:szCs w:val="22"/>
        </w:rPr>
        <w:t xml:space="preserve">Contact Center's top surprise: the Used department (buying team) launches pop-up trade-in promotions or pricing/banner changes without advance notice, generating large unplanned email/chat spikes (one example cited: 300+ emails from a single promo). Not framed as blame, but as a recurring coordination gap.</w:t>
      </w:r>
    </w:p>
    <w:p>
      <w:pPr>
        <w:pStyle w:val="ListParagraph"/>
        <w:numPr>
          <w:ilvl w:val="0"/>
          <w:numId w:val="2"/>
        </w:numPr>
        <w:spacing w:after="80"/>
      </w:pPr>
      <w:r>
        <w:rPr>
          <w:sz w:val="22"/>
          <w:szCs w:val="22"/>
        </w:rPr>
        <w:t xml:space="preserve">Warehouse's top surprise: unexpected spikes in inbound items-in-transit, later traced to pricing changes made elsewhere without notice — visible only after the fact via daily monitoring.</w:t>
      </w:r>
    </w:p>
    <w:p>
      <w:pPr>
        <w:pStyle w:val="ListParagraph"/>
        <w:numPr>
          <w:ilvl w:val="0"/>
          <w:numId w:val="2"/>
        </w:numPr>
        <w:spacing w:after="80"/>
      </w:pPr>
      <w:r>
        <w:rPr>
          <w:sz w:val="22"/>
          <w:szCs w:val="22"/>
        </w:rPr>
        <w:t xml:space="preserve">Reassigned/redirected emails arriving in a sudden bulk wave (e.g., late afternoon) from Customer Service reassignment, overwhelming the receiving team.</w:t>
      </w:r>
    </w:p>
    <w:p>
      <w:pPr>
        <w:pStyle w:val="ListParagraph"/>
        <w:numPr>
          <w:ilvl w:val="0"/>
          <w:numId w:val="2"/>
        </w:numPr>
        <w:spacing w:after="80"/>
      </w:pPr>
      <w:r>
        <w:rPr>
          <w:sz w:val="22"/>
          <w:szCs w:val="22"/>
        </w:rPr>
        <w:t xml:space="preserve">Staffing/call-outs are a universal vulnerability — teams are lean and structured tightly around specific channel coverage (phone/chat/in-person), so absences immediately force ad hoc triage rather than smooth reallocation.</w:t>
      </w:r>
    </w:p>
    <w:p>
      <w:pPr>
        <w:pStyle w:val="ListParagraph"/>
        <w:numPr>
          <w:ilvl w:val="0"/>
          <w:numId w:val="2"/>
        </w:numPr>
        <w:spacing w:after="80"/>
      </w:pPr>
      <w:r>
        <w:rPr>
          <w:sz w:val="22"/>
          <w:szCs w:val="22"/>
        </w:rPr>
        <w:t xml:space="preserve">Used is described as more exposed to staffing gaps than other parts of the company given its smaller team size and in-person coverage requirements (evaluators, sales counter); management/supervisor absence is a particular pain point when no backup decision-maker is available.</w:t>
      </w:r>
    </w:p>
    <w:p>
      <w:pPr>
        <w:pStyle w:val="ListParagraph"/>
        <w:numPr>
          <w:ilvl w:val="0"/>
          <w:numId w:val="2"/>
        </w:numPr>
        <w:spacing w:after="80"/>
      </w:pPr>
      <w:r>
        <w:rPr>
          <w:sz w:val="22"/>
          <w:szCs w:val="22"/>
        </w:rPr>
        <w:t xml:space="preserve">Emerging observation: days the website/store is closed (e.g., a recent Thursday) create a real, currently unmeasured downstream workload impact on subsequent open days — flagged as underappreciated and worth tracking.</w:t>
      </w:r>
    </w:p>
    <w:p>
      <w:pPr>
        <w:pStyle w:val="Heading2"/>
        <w:spacing w:after="120" w:before="240"/>
      </w:pPr>
      <w:r>
        <w:rPr>
          <w:b/>
          <w:bCs/>
          <w:color w:val="0F1F4B"/>
          <w:sz w:val="24"/>
          <w:szCs w:val="24"/>
        </w:rPr>
        <w:t xml:space="preserve">8. Closing Discussion — Competitive Blind Spots (MPB/KEH)</w:t>
      </w:r>
    </w:p>
    <w:p>
      <w:pPr>
        <w:pStyle w:val="ListParagraph"/>
        <w:numPr>
          <w:ilvl w:val="0"/>
          <w:numId w:val="2"/>
        </w:numPr>
        <w:spacing w:after="80"/>
      </w:pPr>
      <w:r>
        <w:rPr>
          <w:sz w:val="22"/>
          <w:szCs w:val="22"/>
        </w:rPr>
        <w:t xml:space="preserve">Facilitator explained the intent behind the (deferred) MPB/KEH question: because those companies' entire business model is used equipment, they likely have cleaner, more complete visibility into their used-specific metrics than B&amp;H currently does, since B&amp;H's used and new business data is more intertwined.</w:t>
      </w:r>
    </w:p>
    <w:p>
      <w:pPr>
        <w:pStyle w:val="ListParagraph"/>
        <w:numPr>
          <w:ilvl w:val="0"/>
          <w:numId w:val="2"/>
        </w:numPr>
        <w:spacing w:after="80"/>
      </w:pPr>
      <w:r>
        <w:rPr>
          <w:sz w:val="22"/>
          <w:szCs w:val="22"/>
        </w:rPr>
        <w:t xml:space="preserve">Noted improvement: the introduction of used-specific customer surveys has already reduced some of this blind spot versus before.</w:t>
      </w:r>
    </w:p>
    <w:p>
      <w:pPr>
        <w:pStyle w:val="Heading1"/>
        <w:pBdr>
          <w:bottom w:val="single" w:color="C8993A" w:sz="8" w:space="4"/>
        </w:pBdr>
        <w:spacing w:after="160" w:before="320"/>
      </w:pPr>
      <w:r>
        <w:rPr>
          <w:b/>
          <w:bCs/>
          <w:color w:val="0F1F4B"/>
          <w:sz w:val="28"/>
          <w:szCs w:val="28"/>
        </w:rPr>
        <w:t xml:space="preserve">Decisions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0F1F4B" w:color="auto" w:val="clear"/>
            <w:tcMar>
              <w:top w:type="dxa" w:w="80"/>
              <w:left w:type="dxa" w:w="100"/>
              <w:bottom w:type="dxa" w:w="80"/>
              <w:right w:type="dxa" w:w="100"/>
            </w:tcMar>
          </w:tcPr>
          <w:p>
            <w:r>
              <w:rPr>
                <w:b/>
                <w:bCs/>
                <w:color w:val="FFFFFF"/>
                <w:sz w:val="20"/>
                <w:szCs w:val="20"/>
              </w:rPr>
              <w:t xml:space="preserve">Decision</w:t>
            </w:r>
          </w:p>
        </w:tc>
        <w:tc>
          <w:tcPr>
            <w:tcW w:type="dxa" w:w="5100"/>
            <w:shd w:fill="0F1F4B" w:color="auto" w:val="clear"/>
            <w:tcMar>
              <w:top w:type="dxa" w:w="80"/>
              <w:left w:type="dxa" w:w="100"/>
              <w:bottom w:type="dxa" w:w="80"/>
              <w:right w:type="dxa" w:w="100"/>
            </w:tcMar>
          </w:tcPr>
          <w:p>
            <w:r>
              <w:rPr>
                <w:b/>
                <w:bCs/>
                <w:color w:val="FFFFFF"/>
                <w:sz w:val="20"/>
                <w:szCs w:val="20"/>
              </w:rPr>
              <w:t xml:space="preserve">Notes</w:t>
            </w:r>
          </w:p>
        </w:tc>
      </w:tr>
      <w:tr>
        <w:tc>
          <w:tcPr>
            <w:tcW w:type="dxa" w:w="4200"/>
            <w:shd w:fill="F7F8FC" w:color="auto" w:val="clear"/>
            <w:tcMar>
              <w:top w:type="dxa" w:w="80"/>
              <w:left w:type="dxa" w:w="100"/>
              <w:bottom w:type="dxa" w:w="80"/>
              <w:right w:type="dxa" w:w="100"/>
            </w:tcMar>
          </w:tcPr>
          <w:p>
            <w:r>
              <w:rPr>
                <w:sz w:val="20"/>
                <w:szCs w:val="20"/>
              </w:rPr>
              <w:t xml:space="preserve">Discovery approach will use open-ended "soft questions" rather than directly requesting a metrics list from stakeholders.</w:t>
            </w:r>
          </w:p>
        </w:tc>
        <w:tc>
          <w:tcPr>
            <w:tcW w:type="dxa" w:w="5100"/>
            <w:shd w:fill="F7F8FC" w:color="auto" w:val="clear"/>
            <w:tcMar>
              <w:top w:type="dxa" w:w="80"/>
              <w:left w:type="dxa" w:w="100"/>
              <w:bottom w:type="dxa" w:w="80"/>
              <w:right w:type="dxa" w:w="100"/>
            </w:tcMar>
          </w:tcPr>
          <w:p>
            <w:r>
              <w:rPr>
                <w:sz w:val="20"/>
                <w:szCs w:val="20"/>
              </w:rPr>
              <w:t xml:space="preserve">Intended to surface real needs vs. needs framed around today's existing tooling.</w:t>
            </w:r>
          </w:p>
        </w:tc>
      </w:tr>
      <w:tr>
        <w:tc>
          <w:tcPr>
            <w:tcW w:type="dxa" w:w="4200"/>
            <w:shd w:fill="FFFFFF" w:color="auto" w:val="clear"/>
            <w:tcMar>
              <w:top w:type="dxa" w:w="80"/>
              <w:left w:type="dxa" w:w="100"/>
              <w:bottom w:type="dxa" w:w="80"/>
              <w:right w:type="dxa" w:w="100"/>
            </w:tcMar>
          </w:tcPr>
          <w:p>
            <w:r>
              <w:rPr>
                <w:sz w:val="20"/>
                <w:szCs w:val="20"/>
              </w:rPr>
              <w:t xml:space="preserve">This is the first of a planned series of interview sessions, not a one-time meeting.</w:t>
            </w:r>
          </w:p>
        </w:tc>
        <w:tc>
          <w:tcPr>
            <w:tcW w:type="dxa" w:w="5100"/>
            <w:shd w:fill="FFFFFF" w:color="auto" w:val="clear"/>
            <w:tcMar>
              <w:top w:type="dxa" w:w="80"/>
              <w:left w:type="dxa" w:w="100"/>
              <w:bottom w:type="dxa" w:w="80"/>
              <w:right w:type="dxa" w:w="100"/>
            </w:tcMar>
          </w:tcPr>
          <w:p>
            <w:r>
              <w:rPr>
                <w:sz w:val="20"/>
                <w:szCs w:val="20"/>
              </w:rPr>
              <w:t xml:space="preserve">Facilitator explicit that one hour is insufficient to reach the end goal.</w:t>
            </w:r>
          </w:p>
        </w:tc>
      </w:tr>
      <w:tr>
        <w:tc>
          <w:tcPr>
            <w:tcW w:type="dxa" w:w="4200"/>
            <w:shd w:fill="F7F8FC" w:color="auto" w:val="clear"/>
            <w:tcMar>
              <w:top w:type="dxa" w:w="80"/>
              <w:left w:type="dxa" w:w="100"/>
              <w:bottom w:type="dxa" w:w="80"/>
              <w:right w:type="dxa" w:w="100"/>
            </w:tcMar>
          </w:tcPr>
          <w:p>
            <w:r>
              <w:rPr>
                <w:sz w:val="20"/>
                <w:szCs w:val="20"/>
              </w:rPr>
              <w:t xml:space="preserve">The MPB/KEH self-visibility question was skipped for this session.</w:t>
            </w:r>
          </w:p>
        </w:tc>
        <w:tc>
          <w:tcPr>
            <w:tcW w:type="dxa" w:w="5100"/>
            <w:shd w:fill="F7F8FC" w:color="auto" w:val="clear"/>
            <w:tcMar>
              <w:top w:type="dxa" w:w="80"/>
              <w:left w:type="dxa" w:w="100"/>
              <w:bottom w:type="dxa" w:w="80"/>
              <w:right w:type="dxa" w:w="100"/>
            </w:tcMar>
          </w:tcPr>
          <w:p>
            <w:r>
              <w:rPr>
                <w:sz w:val="20"/>
                <w:szCs w:val="20"/>
              </w:rPr>
              <w:t xml:space="preserve">Deemed too speculative without further research; deferred, not dropped.</w:t>
            </w:r>
          </w:p>
        </w:tc>
      </w:tr>
    </w:tbl>
    <w:p>
      <w:pPr>
        <w:pStyle w:val="Heading1"/>
        <w:pBdr>
          <w:bottom w:val="single" w:color="C8993A" w:sz="8" w:space="4"/>
        </w:pBdr>
        <w:spacing w:after="160" w:before="320"/>
      </w:pPr>
      <w:r>
        <w:rPr>
          <w:b/>
          <w:bCs/>
          <w:color w:val="0F1F4B"/>
          <w:sz w:val="28"/>
          <w:szCs w:val="28"/>
        </w:rPr>
        <w:t xml:space="preserve">Action Items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200"/>
        <w:gridCol w:w="3600"/>
      </w:tblGrid>
      <w:tr>
        <w:trPr>
          <w:tblHeader/>
        </w:trPr>
        <w:tc>
          <w:tcPr>
            <w:tcW w:type="dxa" w:w="3000"/>
            <w:shd w:fill="0F1F4B" w:color="auto" w:val="clear"/>
            <w:tcMar>
              <w:top w:type="dxa" w:w="80"/>
              <w:left w:type="dxa" w:w="100"/>
              <w:bottom w:type="dxa" w:w="80"/>
              <w:right w:type="dxa" w:w="100"/>
            </w:tcMar>
          </w:tcPr>
          <w:p>
            <w:r>
              <w:rPr>
                <w:b/>
                <w:bCs/>
                <w:color w:val="FFFFFF"/>
                <w:sz w:val="20"/>
                <w:szCs w:val="20"/>
              </w:rPr>
              <w:t xml:space="preserve">Action</w:t>
            </w:r>
          </w:p>
        </w:tc>
        <w:tc>
          <w:tcPr>
            <w:tcW w:type="dxa" w:w="1500"/>
            <w:shd w:fill="0F1F4B" w:color="auto" w:val="clear"/>
            <w:tcMar>
              <w:top w:type="dxa" w:w="80"/>
              <w:left w:type="dxa" w:w="100"/>
              <w:bottom w:type="dxa" w:w="80"/>
              <w:right w:type="dxa" w:w="100"/>
            </w:tcMar>
          </w:tcPr>
          <w:p>
            <w:r>
              <w:rPr>
                <w:b/>
                <w:bCs/>
                <w:color w:val="FFFFFF"/>
                <w:sz w:val="20"/>
                <w:szCs w:val="20"/>
              </w:rPr>
              <w:t xml:space="preserve">Owner</w:t>
            </w:r>
          </w:p>
        </w:tc>
        <w:tc>
          <w:tcPr>
            <w:tcW w:type="dxa" w:w="1200"/>
            <w:shd w:fill="0F1F4B" w:color="auto" w:val="clear"/>
            <w:tcMar>
              <w:top w:type="dxa" w:w="80"/>
              <w:left w:type="dxa" w:w="100"/>
              <w:bottom w:type="dxa" w:w="80"/>
              <w:right w:type="dxa" w:w="100"/>
            </w:tcMar>
          </w:tcPr>
          <w:p>
            <w:r>
              <w:rPr>
                <w:b/>
                <w:bCs/>
                <w:color w:val="FFFFFF"/>
                <w:sz w:val="20"/>
                <w:szCs w:val="20"/>
              </w:rPr>
              <w:t xml:space="preserve">Priority</w:t>
            </w:r>
          </w:p>
        </w:tc>
        <w:tc>
          <w:tcPr>
            <w:tcW w:type="dxa" w:w="3600"/>
            <w:shd w:fill="0F1F4B" w:color="auto" w:val="clear"/>
            <w:tcMar>
              <w:top w:type="dxa" w:w="80"/>
              <w:left w:type="dxa" w:w="100"/>
              <w:bottom w:type="dxa" w:w="80"/>
              <w:right w:type="dxa" w:w="100"/>
            </w:tcMar>
          </w:tcPr>
          <w:p>
            <w:r>
              <w:rPr>
                <w:b/>
                <w:bCs/>
                <w:color w:val="FFFFFF"/>
                <w:sz w:val="20"/>
                <w:szCs w:val="20"/>
              </w:rPr>
              <w:t xml:space="preserve">Notes</w:t>
            </w:r>
          </w:p>
        </w:tc>
      </w:tr>
      <w:tr>
        <w:tc>
          <w:tcPr>
            <w:tcW w:type="dxa" w:w="3000"/>
            <w:shd w:fill="F7F8FC" w:color="auto" w:val="clear"/>
            <w:tcMar>
              <w:top w:type="dxa" w:w="80"/>
              <w:left w:type="dxa" w:w="100"/>
              <w:bottom w:type="dxa" w:w="80"/>
              <w:right w:type="dxa" w:w="100"/>
            </w:tcMar>
          </w:tcPr>
          <w:p>
            <w:r>
              <w:rPr>
                <w:sz w:val="20"/>
                <w:szCs w:val="20"/>
              </w:rPr>
              <w:t xml:space="preserve">Compile and organize interview responses into candidate metrics grouped by "run" vs. "judge" the business.</w:t>
            </w:r>
          </w:p>
        </w:tc>
        <w:tc>
          <w:tcPr>
            <w:tcW w:type="dxa" w:w="1500"/>
            <w:shd w:fill="F7F8FC" w:color="auto" w:val="clear"/>
            <w:tcMar>
              <w:top w:type="dxa" w:w="80"/>
              <w:left w:type="dxa" w:w="100"/>
              <w:bottom w:type="dxa" w:w="80"/>
              <w:right w:type="dxa" w:w="100"/>
            </w:tcMar>
          </w:tcPr>
          <w:p>
            <w:r>
              <w:rPr>
                <w:sz w:val="20"/>
                <w:szCs w:val="20"/>
              </w:rPr>
              <w:t xml:space="preserve">BI team facilitator</w:t>
            </w:r>
          </w:p>
        </w:tc>
        <w:tc>
          <w:tcPr>
            <w:tcW w:type="dxa" w:w="1200"/>
            <w:shd w:fill="F7F8FC" w:color="auto" w:val="clear"/>
            <w:tcMar>
              <w:top w:type="dxa" w:w="80"/>
              <w:left w:type="dxa" w:w="100"/>
              <w:bottom w:type="dxa" w:w="80"/>
              <w:right w:type="dxa" w:w="100"/>
            </w:tcMar>
          </w:tcPr>
          <w:p>
            <w:r>
              <w:rPr>
                <w:sz w:val="20"/>
                <w:szCs w:val="20"/>
              </w:rPr>
              <w:t xml:space="preserve">High</w:t>
            </w:r>
          </w:p>
        </w:tc>
        <w:tc>
          <w:tcPr>
            <w:tcW w:type="dxa" w:w="3600"/>
            <w:shd w:fill="F7F8FC" w:color="auto" w:val="clear"/>
            <w:tcMar>
              <w:top w:type="dxa" w:w="80"/>
              <w:left w:type="dxa" w:w="100"/>
              <w:bottom w:type="dxa" w:w="80"/>
              <w:right w:type="dxa" w:w="100"/>
            </w:tcMar>
          </w:tcPr>
          <w:p>
            <w:r>
              <w:rPr>
                <w:sz w:val="20"/>
                <w:szCs w:val="20"/>
              </w:rPr>
              <w:t xml:space="preserve">Explicit intent: use these notes to infer what metrics each stakeholder would value, rather than asking again directly.</w:t>
            </w:r>
          </w:p>
        </w:tc>
      </w:tr>
      <w:tr>
        <w:tc>
          <w:tcPr>
            <w:tcW w:type="dxa" w:w="3000"/>
            <w:shd w:fill="FFFFFF" w:color="auto" w:val="clear"/>
            <w:tcMar>
              <w:top w:type="dxa" w:w="80"/>
              <w:left w:type="dxa" w:w="100"/>
              <w:bottom w:type="dxa" w:w="80"/>
              <w:right w:type="dxa" w:w="100"/>
            </w:tcMar>
          </w:tcPr>
          <w:p>
            <w:r>
              <w:rPr>
                <w:sz w:val="20"/>
                <w:szCs w:val="20"/>
              </w:rPr>
              <w:t xml:space="preserve">Schedule follow-up session(s) to continue soft-question discovery with remaining/same stakeholders.</w:t>
            </w:r>
          </w:p>
        </w:tc>
        <w:tc>
          <w:tcPr>
            <w:tcW w:type="dxa" w:w="1500"/>
            <w:shd w:fill="FFFFFF" w:color="auto" w:val="clear"/>
            <w:tcMar>
              <w:top w:type="dxa" w:w="80"/>
              <w:left w:type="dxa" w:w="100"/>
              <w:bottom w:type="dxa" w:w="80"/>
              <w:right w:type="dxa" w:w="100"/>
            </w:tcMar>
          </w:tcPr>
          <w:p>
            <w:r>
              <w:rPr>
                <w:sz w:val="20"/>
                <w:szCs w:val="20"/>
              </w:rPr>
              <w:t xml:space="preserve">BI team facilitator</w:t>
            </w:r>
          </w:p>
        </w:tc>
        <w:tc>
          <w:tcPr>
            <w:tcW w:type="dxa" w:w="1200"/>
            <w:shd w:fill="FFFFFF" w:color="auto" w:val="clear"/>
            <w:tcMar>
              <w:top w:type="dxa" w:w="80"/>
              <w:left w:type="dxa" w:w="100"/>
              <w:bottom w:type="dxa" w:w="80"/>
              <w:right w:type="dxa" w:w="100"/>
            </w:tcMar>
          </w:tcPr>
          <w:p>
            <w:r>
              <w:rPr>
                <w:sz w:val="20"/>
                <w:szCs w:val="20"/>
              </w:rPr>
              <w:t xml:space="preserve">High</w:t>
            </w:r>
          </w:p>
        </w:tc>
        <w:tc>
          <w:tcPr>
            <w:tcW w:type="dxa" w:w="3600"/>
            <w:shd w:fill="FFFFFF" w:color="auto" w:val="clear"/>
            <w:tcMar>
              <w:top w:type="dxa" w:w="80"/>
              <w:left w:type="dxa" w:w="100"/>
              <w:bottom w:type="dxa" w:w="80"/>
              <w:right w:type="dxa" w:w="100"/>
            </w:tcMar>
          </w:tcPr>
          <w:p>
            <w:r>
              <w:rPr>
                <w:sz w:val="20"/>
                <w:szCs w:val="20"/>
              </w:rPr>
              <w:t xml:space="preserve">Facilitator flagged possible absence of one attendee this round; wants them included in a future session if possible.</w:t>
            </w:r>
          </w:p>
        </w:tc>
      </w:tr>
      <w:tr>
        <w:tc>
          <w:tcPr>
            <w:tcW w:type="dxa" w:w="3000"/>
            <w:shd w:fill="F7F8FC" w:color="auto" w:val="clear"/>
            <w:tcMar>
              <w:top w:type="dxa" w:w="80"/>
              <w:left w:type="dxa" w:w="100"/>
              <w:bottom w:type="dxa" w:w="80"/>
              <w:right w:type="dxa" w:w="100"/>
            </w:tcMar>
          </w:tcPr>
          <w:p>
            <w:r>
              <w:rPr>
                <w:sz w:val="20"/>
                <w:szCs w:val="20"/>
              </w:rPr>
              <w:t xml:space="preserve">Prepare and lead a session reviewing the existing report inventory (Cognos and others) to identify low-value/"junk" reports.</w:t>
            </w:r>
          </w:p>
        </w:tc>
        <w:tc>
          <w:tcPr>
            <w:tcW w:type="dxa" w:w="1500"/>
            <w:shd w:fill="F7F8FC" w:color="auto" w:val="clear"/>
            <w:tcMar>
              <w:top w:type="dxa" w:w="80"/>
              <w:left w:type="dxa" w:w="100"/>
              <w:bottom w:type="dxa" w:w="80"/>
              <w:right w:type="dxa" w:w="100"/>
            </w:tcMar>
          </w:tcPr>
          <w:p>
            <w:r>
              <w:rPr>
                <w:sz w:val="20"/>
                <w:szCs w:val="20"/>
              </w:rPr>
              <w:t xml:space="preserve">BI team facilitator</w:t>
            </w:r>
          </w:p>
        </w:tc>
        <w:tc>
          <w:tcPr>
            <w:tcW w:type="dxa" w:w="1200"/>
            <w:shd w:fill="F7F8FC" w:color="auto" w:val="clear"/>
            <w:tcMar>
              <w:top w:type="dxa" w:w="80"/>
              <w:left w:type="dxa" w:w="100"/>
              <w:bottom w:type="dxa" w:w="80"/>
              <w:right w:type="dxa" w:w="100"/>
            </w:tcMar>
          </w:tcPr>
          <w:p>
            <w:r>
              <w:rPr>
                <w:sz w:val="20"/>
                <w:szCs w:val="20"/>
              </w:rPr>
              <w:t xml:space="preserve">Medium</w:t>
            </w:r>
          </w:p>
        </w:tc>
        <w:tc>
          <w:tcPr>
            <w:tcW w:type="dxa" w:w="3600"/>
            <w:shd w:fill="F7F8FC" w:color="auto" w:val="clear"/>
            <w:tcMar>
              <w:top w:type="dxa" w:w="80"/>
              <w:left w:type="dxa" w:w="100"/>
              <w:bottom w:type="dxa" w:w="80"/>
              <w:right w:type="dxa" w:w="100"/>
            </w:tcMar>
          </w:tcPr>
          <w:p>
            <w:r>
              <w:rPr>
                <w:sz w:val="20"/>
                <w:szCs w:val="20"/>
              </w:rPr>
              <w:t xml:space="preserve">Planned as the next session after this one.</w:t>
            </w:r>
          </w:p>
        </w:tc>
      </w:tr>
      <w:tr>
        <w:tc>
          <w:tcPr>
            <w:tcW w:type="dxa" w:w="3000"/>
            <w:shd w:fill="FFFFFF" w:color="auto" w:val="clear"/>
            <w:tcMar>
              <w:top w:type="dxa" w:w="80"/>
              <w:left w:type="dxa" w:w="100"/>
              <w:bottom w:type="dxa" w:w="80"/>
              <w:right w:type="dxa" w:w="100"/>
            </w:tcMar>
          </w:tcPr>
          <w:p>
            <w:r>
              <w:rPr>
                <w:sz w:val="20"/>
                <w:szCs w:val="20"/>
              </w:rPr>
              <w:t xml:space="preserve">Draft a strawman dashboard incorporating this session's input, prior session input, and industry benchmark data.</w:t>
            </w:r>
          </w:p>
        </w:tc>
        <w:tc>
          <w:tcPr>
            <w:tcW w:type="dxa" w:w="1500"/>
            <w:shd w:fill="FFFFFF" w:color="auto" w:val="clear"/>
            <w:tcMar>
              <w:top w:type="dxa" w:w="80"/>
              <w:left w:type="dxa" w:w="100"/>
              <w:bottom w:type="dxa" w:w="80"/>
              <w:right w:type="dxa" w:w="100"/>
            </w:tcMar>
          </w:tcPr>
          <w:p>
            <w:r>
              <w:rPr>
                <w:sz w:val="20"/>
                <w:szCs w:val="20"/>
              </w:rPr>
              <w:t xml:space="preserve">BI team facilitator</w:t>
            </w:r>
          </w:p>
        </w:tc>
        <w:tc>
          <w:tcPr>
            <w:tcW w:type="dxa" w:w="1200"/>
            <w:shd w:fill="FFFFFF" w:color="auto" w:val="clear"/>
            <w:tcMar>
              <w:top w:type="dxa" w:w="80"/>
              <w:left w:type="dxa" w:w="100"/>
              <w:bottom w:type="dxa" w:w="80"/>
              <w:right w:type="dxa" w:w="100"/>
            </w:tcMar>
          </w:tcPr>
          <w:p>
            <w:r>
              <w:rPr>
                <w:sz w:val="20"/>
                <w:szCs w:val="20"/>
              </w:rPr>
              <w:t xml:space="preserve">Medium</w:t>
            </w:r>
          </w:p>
        </w:tc>
        <w:tc>
          <w:tcPr>
            <w:tcW w:type="dxa" w:w="3600"/>
            <w:shd w:fill="FFFFFF" w:color="auto" w:val="clear"/>
            <w:tcMar>
              <w:top w:type="dxa" w:w="80"/>
              <w:left w:type="dxa" w:w="100"/>
              <w:bottom w:type="dxa" w:w="80"/>
              <w:right w:type="dxa" w:w="100"/>
            </w:tcMar>
          </w:tcPr>
          <w:p>
            <w:r>
              <w:rPr>
                <w:sz w:val="20"/>
                <w:szCs w:val="20"/>
              </w:rPr>
              <w:t xml:space="preserve">Facilitator intentionally deferring this to avoid being overly prescriptive too early.</w:t>
            </w:r>
          </w:p>
        </w:tc>
      </w:tr>
      <w:tr>
        <w:tc>
          <w:tcPr>
            <w:tcW w:type="dxa" w:w="3000"/>
            <w:shd w:fill="F7F8FC" w:color="auto" w:val="clear"/>
            <w:tcMar>
              <w:top w:type="dxa" w:w="80"/>
              <w:left w:type="dxa" w:w="100"/>
              <w:bottom w:type="dxa" w:w="80"/>
              <w:right w:type="dxa" w:w="100"/>
            </w:tcMar>
          </w:tcPr>
          <w:p>
            <w:r>
              <w:rPr>
                <w:sz w:val="20"/>
                <w:szCs w:val="20"/>
              </w:rPr>
              <w:t xml:space="preserve">Scope a customer survey/benchmark effort (e.g., ~100 customers, or reliable third-party NPS data) to substantiate the belief that B&amp;H used service/quality leads MPB and KEH.</w:t>
            </w:r>
          </w:p>
        </w:tc>
        <w:tc>
          <w:tcPr>
            <w:tcW w:type="dxa" w:w="1500"/>
            <w:shd w:fill="F7F8FC" w:color="auto" w:val="clear"/>
            <w:tcMar>
              <w:top w:type="dxa" w:w="80"/>
              <w:left w:type="dxa" w:w="100"/>
              <w:bottom w:type="dxa" w:w="80"/>
              <w:right w:type="dxa" w:w="100"/>
            </w:tcMar>
          </w:tcPr>
          <w:p>
            <w:r>
              <w:rPr>
                <w:sz w:val="20"/>
                <w:szCs w:val="20"/>
              </w:rPr>
              <w:t xml:space="preserve">Unassigned</w:t>
            </w:r>
          </w:p>
        </w:tc>
        <w:tc>
          <w:tcPr>
            <w:tcW w:type="dxa" w:w="1200"/>
            <w:shd w:fill="F7F8FC" w:color="auto" w:val="clear"/>
            <w:tcMar>
              <w:top w:type="dxa" w:w="80"/>
              <w:left w:type="dxa" w:w="100"/>
              <w:bottom w:type="dxa" w:w="80"/>
              <w:right w:type="dxa" w:w="100"/>
            </w:tcMar>
          </w:tcPr>
          <w:p>
            <w:r>
              <w:rPr>
                <w:sz w:val="20"/>
                <w:szCs w:val="20"/>
              </w:rPr>
              <w:t xml:space="preserve">Medium</w:t>
            </w:r>
          </w:p>
        </w:tc>
        <w:tc>
          <w:tcPr>
            <w:tcW w:type="dxa" w:w="3600"/>
            <w:shd w:fill="F7F8FC" w:color="auto" w:val="clear"/>
            <w:tcMar>
              <w:top w:type="dxa" w:w="80"/>
              <w:left w:type="dxa" w:w="100"/>
              <w:bottom w:type="dxa" w:w="80"/>
              <w:right w:type="dxa" w:w="100"/>
            </w:tcMar>
          </w:tcPr>
          <w:p>
            <w:r>
              <w:rPr>
                <w:sz w:val="20"/>
                <w:szCs w:val="20"/>
              </w:rPr>
              <w:t xml:space="preserve">Currently an unproven internal belief; flagged as needing a dedicated research project.</w:t>
            </w:r>
          </w:p>
        </w:tc>
      </w:tr>
      <w:tr>
        <w:tc>
          <w:tcPr>
            <w:tcW w:type="dxa" w:w="3000"/>
            <w:shd w:fill="FFFFFF" w:color="auto" w:val="clear"/>
            <w:tcMar>
              <w:top w:type="dxa" w:w="80"/>
              <w:left w:type="dxa" w:w="100"/>
              <w:bottom w:type="dxa" w:w="80"/>
              <w:right w:type="dxa" w:w="100"/>
            </w:tcMar>
          </w:tcPr>
          <w:p>
            <w:r>
              <w:rPr>
                <w:sz w:val="20"/>
                <w:szCs w:val="20"/>
              </w:rPr>
              <w:t xml:space="preserve">Investigate feasibility of an IVR reporting view showing call source and inter-department transfer paths.</w:t>
            </w:r>
          </w:p>
        </w:tc>
        <w:tc>
          <w:tcPr>
            <w:tcW w:type="dxa" w:w="1500"/>
            <w:shd w:fill="FFFFFF" w:color="auto" w:val="clear"/>
            <w:tcMar>
              <w:top w:type="dxa" w:w="80"/>
              <w:left w:type="dxa" w:w="100"/>
              <w:bottom w:type="dxa" w:w="80"/>
              <w:right w:type="dxa" w:w="100"/>
            </w:tcMar>
          </w:tcPr>
          <w:p>
            <w:r>
              <w:rPr>
                <w:sz w:val="20"/>
                <w:szCs w:val="20"/>
              </w:rPr>
              <w:t xml:space="preserve">Unassigned</w:t>
            </w:r>
          </w:p>
        </w:tc>
        <w:tc>
          <w:tcPr>
            <w:tcW w:type="dxa" w:w="1200"/>
            <w:shd w:fill="FFFFFF" w:color="auto" w:val="clear"/>
            <w:tcMar>
              <w:top w:type="dxa" w:w="80"/>
              <w:left w:type="dxa" w:w="100"/>
              <w:bottom w:type="dxa" w:w="80"/>
              <w:right w:type="dxa" w:w="100"/>
            </w:tcMar>
          </w:tcPr>
          <w:p>
            <w:r>
              <w:rPr>
                <w:sz w:val="20"/>
                <w:szCs w:val="20"/>
              </w:rPr>
              <w:t xml:space="preserve">Medium</w:t>
            </w:r>
          </w:p>
        </w:tc>
        <w:tc>
          <w:tcPr>
            <w:tcW w:type="dxa" w:w="3600"/>
            <w:shd w:fill="FFFFFF" w:color="auto" w:val="clear"/>
            <w:tcMar>
              <w:top w:type="dxa" w:w="80"/>
              <w:left w:type="dxa" w:w="100"/>
              <w:bottom w:type="dxa" w:w="80"/>
              <w:right w:type="dxa" w:w="100"/>
            </w:tcMar>
          </w:tcPr>
          <w:p>
            <w:r>
              <w:rPr>
                <w:sz w:val="20"/>
                <w:szCs w:val="20"/>
              </w:rPr>
              <w:t xml:space="preserve">Named as a recurring, unresolved point of debate.</w:t>
            </w:r>
          </w:p>
        </w:tc>
      </w:tr>
      <w:tr>
        <w:tc>
          <w:tcPr>
            <w:tcW w:type="dxa" w:w="3000"/>
            <w:shd w:fill="F7F8FC" w:color="auto" w:val="clear"/>
            <w:tcMar>
              <w:top w:type="dxa" w:w="80"/>
              <w:left w:type="dxa" w:w="100"/>
              <w:bottom w:type="dxa" w:w="80"/>
              <w:right w:type="dxa" w:w="100"/>
            </w:tcMar>
          </w:tcPr>
          <w:p>
            <w:r>
              <w:rPr>
                <w:sz w:val="20"/>
                <w:szCs w:val="20"/>
              </w:rPr>
              <w:t xml:space="preserve">Scope category-level defect/return and quote-rejection reporting to support offer-pricing and category-level quality decisions.</w:t>
            </w:r>
          </w:p>
        </w:tc>
        <w:tc>
          <w:tcPr>
            <w:tcW w:type="dxa" w:w="1500"/>
            <w:shd w:fill="F7F8FC" w:color="auto" w:val="clear"/>
            <w:tcMar>
              <w:top w:type="dxa" w:w="80"/>
              <w:left w:type="dxa" w:w="100"/>
              <w:bottom w:type="dxa" w:w="80"/>
              <w:right w:type="dxa" w:w="100"/>
            </w:tcMar>
          </w:tcPr>
          <w:p>
            <w:r>
              <w:rPr>
                <w:sz w:val="20"/>
                <w:szCs w:val="20"/>
              </w:rPr>
              <w:t xml:space="preserve">Unassigned</w:t>
            </w:r>
          </w:p>
        </w:tc>
        <w:tc>
          <w:tcPr>
            <w:tcW w:type="dxa" w:w="1200"/>
            <w:shd w:fill="F7F8FC" w:color="auto" w:val="clear"/>
            <w:tcMar>
              <w:top w:type="dxa" w:w="80"/>
              <w:left w:type="dxa" w:w="100"/>
              <w:bottom w:type="dxa" w:w="80"/>
              <w:right w:type="dxa" w:w="100"/>
            </w:tcMar>
          </w:tcPr>
          <w:p>
            <w:r>
              <w:rPr>
                <w:sz w:val="20"/>
                <w:szCs w:val="20"/>
              </w:rPr>
              <w:t xml:space="preserve">Medium</w:t>
            </w:r>
          </w:p>
        </w:tc>
        <w:tc>
          <w:tcPr>
            <w:tcW w:type="dxa" w:w="3600"/>
            <w:shd w:fill="F7F8FC" w:color="auto" w:val="clear"/>
            <w:tcMar>
              <w:top w:type="dxa" w:w="80"/>
              <w:left w:type="dxa" w:w="100"/>
              <w:bottom w:type="dxa" w:w="80"/>
              <w:right w:type="dxa" w:w="100"/>
            </w:tcMar>
          </w:tcPr>
          <w:p>
            <w:r>
              <w:rPr>
                <w:sz w:val="20"/>
                <w:szCs w:val="20"/>
              </w:rPr>
              <w:t xml:space="preserve">Team has begun informal work on quote-rejection tracking; not yet complete.</w:t>
            </w:r>
          </w:p>
        </w:tc>
      </w:tr>
      <w:tr>
        <w:tc>
          <w:tcPr>
            <w:tcW w:type="dxa" w:w="3000"/>
            <w:shd w:fill="FFFFFF" w:color="auto" w:val="clear"/>
            <w:tcMar>
              <w:top w:type="dxa" w:w="80"/>
              <w:left w:type="dxa" w:w="100"/>
              <w:bottom w:type="dxa" w:w="80"/>
              <w:right w:type="dxa" w:w="100"/>
            </w:tcMar>
          </w:tcPr>
          <w:p>
            <w:r>
              <w:rPr>
                <w:sz w:val="20"/>
                <w:szCs w:val="20"/>
              </w:rPr>
              <w:t xml:space="preserve">Establish a clearer escalation path/ownership model for cross-team issues (e.g., returns).</w:t>
            </w:r>
          </w:p>
        </w:tc>
        <w:tc>
          <w:tcPr>
            <w:tcW w:type="dxa" w:w="1500"/>
            <w:shd w:fill="FFFFFF" w:color="auto" w:val="clear"/>
            <w:tcMar>
              <w:top w:type="dxa" w:w="80"/>
              <w:left w:type="dxa" w:w="100"/>
              <w:bottom w:type="dxa" w:w="80"/>
              <w:right w:type="dxa" w:w="100"/>
            </w:tcMar>
          </w:tcPr>
          <w:p>
            <w:r>
              <w:rPr>
                <w:sz w:val="20"/>
                <w:szCs w:val="20"/>
              </w:rPr>
              <w:t xml:space="preserve">Unassigned</w:t>
            </w:r>
          </w:p>
        </w:tc>
        <w:tc>
          <w:tcPr>
            <w:tcW w:type="dxa" w:w="1200"/>
            <w:shd w:fill="FFFFFF" w:color="auto" w:val="clear"/>
            <w:tcMar>
              <w:top w:type="dxa" w:w="80"/>
              <w:left w:type="dxa" w:w="100"/>
              <w:bottom w:type="dxa" w:w="80"/>
              <w:right w:type="dxa" w:w="100"/>
            </w:tcMar>
          </w:tcPr>
          <w:p>
            <w:r>
              <w:rPr>
                <w:sz w:val="20"/>
                <w:szCs w:val="20"/>
              </w:rPr>
              <w:t xml:space="preserve">Medium</w:t>
            </w:r>
          </w:p>
        </w:tc>
        <w:tc>
          <w:tcPr>
            <w:tcW w:type="dxa" w:w="3600"/>
            <w:shd w:fill="FFFFFF" w:color="auto" w:val="clear"/>
            <w:tcMar>
              <w:top w:type="dxa" w:w="80"/>
              <w:left w:type="dxa" w:w="100"/>
              <w:bottom w:type="dxa" w:w="80"/>
              <w:right w:type="dxa" w:w="100"/>
            </w:tcMar>
          </w:tcPr>
          <w:p>
            <w:r>
              <w:rPr>
                <w:sz w:val="20"/>
                <w:szCs w:val="20"/>
              </w:rPr>
              <w:t xml:space="preserve">Raised as a live pain point during the "data you wish you had" discussion.</w:t>
            </w:r>
          </w:p>
        </w:tc>
      </w:tr>
      <w:tr>
        <w:tc>
          <w:tcPr>
            <w:tcW w:type="dxa" w:w="3000"/>
            <w:shd w:fill="F7F8FC" w:color="auto" w:val="clear"/>
            <w:tcMar>
              <w:top w:type="dxa" w:w="80"/>
              <w:left w:type="dxa" w:w="100"/>
              <w:bottom w:type="dxa" w:w="80"/>
              <w:right w:type="dxa" w:w="100"/>
            </w:tcMar>
          </w:tcPr>
          <w:p>
            <w:r>
              <w:rPr>
                <w:sz w:val="20"/>
                <w:szCs w:val="20"/>
              </w:rPr>
              <w:t xml:space="preserve">Improve advance-notice process between Used buying/promo team and Contact Center/Warehouse before promo emails, pricing changes, or banner launches.</w:t>
            </w:r>
          </w:p>
        </w:tc>
        <w:tc>
          <w:tcPr>
            <w:tcW w:type="dxa" w:w="1500"/>
            <w:shd w:fill="F7F8FC" w:color="auto" w:val="clear"/>
            <w:tcMar>
              <w:top w:type="dxa" w:w="80"/>
              <w:left w:type="dxa" w:w="100"/>
              <w:bottom w:type="dxa" w:w="80"/>
              <w:right w:type="dxa" w:w="100"/>
            </w:tcMar>
          </w:tcPr>
          <w:p>
            <w:r>
              <w:rPr>
                <w:sz w:val="20"/>
                <w:szCs w:val="20"/>
              </w:rPr>
              <w:t xml:space="preserve">Unassigned</w:t>
            </w:r>
          </w:p>
        </w:tc>
        <w:tc>
          <w:tcPr>
            <w:tcW w:type="dxa" w:w="1200"/>
            <w:shd w:fill="F7F8FC" w:color="auto" w:val="clear"/>
            <w:tcMar>
              <w:top w:type="dxa" w:w="80"/>
              <w:left w:type="dxa" w:w="100"/>
              <w:bottom w:type="dxa" w:w="80"/>
              <w:right w:type="dxa" w:w="100"/>
            </w:tcMar>
          </w:tcPr>
          <w:p>
            <w:r>
              <w:rPr>
                <w:sz w:val="20"/>
                <w:szCs w:val="20"/>
              </w:rPr>
              <w:t xml:space="preserve">Medium</w:t>
            </w:r>
          </w:p>
        </w:tc>
        <w:tc>
          <w:tcPr>
            <w:tcW w:type="dxa" w:w="3600"/>
            <w:shd w:fill="F7F8FC" w:color="auto" w:val="clear"/>
            <w:tcMar>
              <w:top w:type="dxa" w:w="80"/>
              <w:left w:type="dxa" w:w="100"/>
              <w:bottom w:type="dxa" w:w="80"/>
              <w:right w:type="dxa" w:w="100"/>
            </w:tcMar>
          </w:tcPr>
          <w:p>
            <w:r>
              <w:rPr>
                <w:sz w:val="20"/>
                <w:szCs w:val="20"/>
              </w:rPr>
              <w:t xml:space="preserve">Recurring source of unplanned volume spikes across two teams.</w:t>
            </w:r>
          </w:p>
        </w:tc>
      </w:tr>
    </w:tbl>
    <w:p>
      <w:pPr>
        <w:pStyle w:val="Heading1"/>
        <w:pBdr>
          <w:bottom w:val="single" w:color="C8993A" w:sz="8" w:space="4"/>
        </w:pBdr>
        <w:spacing w:after="160" w:before="320"/>
      </w:pPr>
      <w:r>
        <w:rPr>
          <w:b/>
          <w:bCs/>
          <w:color w:val="0F1F4B"/>
          <w:sz w:val="28"/>
          <w:szCs w:val="28"/>
        </w:rPr>
        <w:t xml:space="preserve">Open Questions</w:t>
      </w:r>
    </w:p>
    <w:p>
      <w:pPr>
        <w:pStyle w:val="ListParagraph"/>
        <w:numPr>
          <w:ilvl w:val="0"/>
          <w:numId w:val="2"/>
        </w:numPr>
        <w:spacing w:after="80"/>
      </w:pPr>
      <w:r>
        <w:rPr>
          <w:sz w:val="22"/>
          <w:szCs w:val="22"/>
        </w:rPr>
        <w:t xml:space="preserve">How to fairly measure employee productivity/performance given heavy task-switching across channels (phone, chat, email, in-person) rather than single-channel throughput counts?</w:t>
      </w:r>
    </w:p>
    <w:p>
      <w:pPr>
        <w:pStyle w:val="ListParagraph"/>
        <w:numPr>
          <w:ilvl w:val="0"/>
          <w:numId w:val="2"/>
        </w:numPr>
        <w:spacing w:after="80"/>
      </w:pPr>
      <w:r>
        <w:rPr>
          <w:sz w:val="22"/>
          <w:szCs w:val="22"/>
        </w:rPr>
        <w:t xml:space="preserve">What is the actual, measurable downstream impact of a closed store/site day on subsequent days' workload?</w:t>
      </w:r>
    </w:p>
    <w:p>
      <w:pPr>
        <w:pStyle w:val="ListParagraph"/>
        <w:numPr>
          <w:ilvl w:val="0"/>
          <w:numId w:val="2"/>
        </w:numPr>
        <w:spacing w:after="80"/>
      </w:pPr>
      <w:r>
        <w:rPr>
          <w:sz w:val="22"/>
          <w:szCs w:val="22"/>
        </w:rPr>
        <w:t xml:space="preserve">Who should own centralized BI report requests going forward, given the prior centralized-request model no longer exists?</w:t>
      </w:r>
    </w:p>
    <w:p>
      <w:pPr>
        <w:pStyle w:val="ListParagraph"/>
        <w:numPr>
          <w:ilvl w:val="0"/>
          <w:numId w:val="2"/>
        </w:numPr>
        <w:spacing w:after="80"/>
      </w:pPr>
      <w:r>
        <w:rPr>
          <w:sz w:val="22"/>
          <w:szCs w:val="22"/>
        </w:rPr>
        <w:t xml:space="preserve">Should the throughput-based staffing model (expected quotes/items/lines per role per day) be formalized and applied consistently across evaluators, warehouse, and Contact Center?</w:t>
      </w:r>
    </w:p>
    <w:p>
      <w:pPr>
        <w:pStyle w:val="Heading1"/>
        <w:pBdr>
          <w:bottom w:val="single" w:color="C8993A" w:sz="8" w:space="4"/>
        </w:pBdr>
        <w:spacing w:after="160" w:before="320"/>
      </w:pPr>
      <w:r>
        <w:rPr>
          <w:b/>
          <w:bCs/>
          <w:color w:val="0F1F4B"/>
          <w:sz w:val="28"/>
          <w:szCs w:val="28"/>
        </w:rPr>
        <w:t xml:space="preserve">Deferred / Out of Scope</w:t>
      </w:r>
    </w:p>
    <w:p>
      <w:pPr>
        <w:pStyle w:val="ListParagraph"/>
        <w:numPr>
          <w:ilvl w:val="0"/>
          <w:numId w:val="2"/>
        </w:numPr>
        <w:spacing w:after="80"/>
      </w:pPr>
      <w:r>
        <w:rPr>
          <w:sz w:val="22"/>
          <w:szCs w:val="22"/>
        </w:rPr>
        <w:t xml:space="preserve">MPB/KEH self-visibility comparison question — deferred to a future session pending further thought, not part of this round's conclusions.</w:t>
      </w:r>
    </w:p>
    <w:p>
      <w:pPr>
        <w:pStyle w:val="ListParagraph"/>
        <w:numPr>
          <w:ilvl w:val="0"/>
          <w:numId w:val="2"/>
        </w:numPr>
        <w:spacing w:after="80"/>
      </w:pPr>
      <w:r>
        <w:rPr>
          <w:sz w:val="22"/>
          <w:szCs w:val="22"/>
        </w:rPr>
        <w:t xml:space="preserve">Specific dashboard design/layout — explicitly deferred until after the report-inventory review session, to avoid being prescriptive before needs are fully understood.</w:t>
      </w:r>
    </w:p>
    <w:p>
      <w:pPr>
        <w:pStyle w:val="ListParagraph"/>
        <w:numPr>
          <w:ilvl w:val="0"/>
          <w:numId w:val="2"/>
        </w:numPr>
        <w:spacing w:after="80"/>
      </w:pPr>
      <w:r>
        <w:rPr>
          <w:sz w:val="22"/>
          <w:szCs w:val="22"/>
        </w:rPr>
        <w:t xml:space="preserve">The parallel, separate audit of existing Cognos report usage/adoption — mentioned only as context; not part of this session's discussion.</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2026-08-06T16:52:01.300Z</dcterms:created>
  <dcterms:modified xsi:type="dcterms:W3CDTF">2026-08-06T16:52:01.328Z</dcterms:modified>
</cp:coreProperties>
</file>

<file path=docProps/custom.xml><?xml version="1.0" encoding="utf-8"?>
<Properties xmlns="http://schemas.openxmlformats.org/officeDocument/2006/custom-properties" xmlns:vt="http://schemas.openxmlformats.org/officeDocument/2006/docPropsVTypes"/>
</file>