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0F1F4B"/>
          <w:sz w:val="36"/>
          <w:szCs w:val="36"/>
        </w:rPr>
        <w:t xml:space="preserve">B&amp;H Used Web · Meeting Notes</w:t>
      </w:r>
    </w:p>
    <w:p>
      <w:pPr>
        <w:spacing w:after="60" w:before="0"/>
      </w:pPr>
      <w:r>
        <w:rPr>
          <w:rFonts w:ascii="Calibri" w:cs="Calibri" w:eastAsia="Calibri" w:hAnsi="Calibri"/>
          <w:color w:val="444444"/>
          <w:sz w:val="26"/>
          <w:szCs w:val="26"/>
        </w:rPr>
        <w:t xml:space="preserve">Trade-In Email Refresh — UX Grooming &amp; Kickoff</w:t>
      </w:r>
    </w:p>
    <w:p>
      <w:pPr>
        <w:spacing w:after="60" w:before="60"/>
      </w:pPr>
      <w:r>
        <w:rPr>
          <w:rFonts w:ascii="Calibri" w:cs="Calibri" w:eastAsia="Calibri" w:hAnsi="Calibri"/>
          <w:b/>
          <w:bCs/>
          <w:color w:val="555555"/>
          <w:sz w:val="20"/>
          <w:szCs w:val="20"/>
        </w:rPr>
        <w:t xml:space="preserve">Date: </w:t>
      </w:r>
      <w:r>
        <w:rPr>
          <w:rFonts w:ascii="Calibri" w:cs="Calibri" w:eastAsia="Calibri" w:hAnsi="Calibri"/>
          <w:color w:val="555555"/>
          <w:sz w:val="20"/>
          <w:szCs w:val="20"/>
        </w:rPr>
        <w:t xml:space="preserve">July 14, 2025</w:t>
      </w:r>
      <w:r>
        <w:rPr>
          <w:rFonts w:ascii="Calibri" w:cs="Calibri" w:eastAsia="Calibri" w:hAnsi="Calibri"/>
          <w:b/>
          <w:bCs/>
          <w:color w:val="555555"/>
          <w:sz w:val="20"/>
          <w:szCs w:val="20"/>
        </w:rPr>
        <w:t xml:space="preserve">     Ticket: </w:t>
      </w:r>
      <w:r>
        <w:rPr>
          <w:rFonts w:ascii="Calibri" w:cs="Calibri" w:eastAsia="Calibri" w:hAnsi="Calibri"/>
          <w:color w:val="555555"/>
          <w:sz w:val="20"/>
          <w:szCs w:val="20"/>
        </w:rPr>
        <w:t xml:space="preserve">BHUX-33009 / BHP-6434 (Trade-In Email Refresh Discovery)</w:t>
      </w:r>
    </w:p>
    <w:p>
      <w:pPr>
        <w:pBdr>
          <w:bottom w:val="single" w:color="D0D0D0" w:sz="4"/>
        </w:pBdr>
        <w:spacing w:after="40" w:before="40"/>
      </w:pPr>
      <w:r>
        <w:rPr>
          <w:rFonts w:ascii="Calibri" w:cs="Calibri" w:eastAsia="Calibri" w:hAnsi="Calibri"/>
          <w:b/>
          <w:bCs/>
          <w:color w:val="555555"/>
          <w:sz w:val="20"/>
          <w:szCs w:val="20"/>
        </w:rPr>
        <w:t xml:space="preserve">Attendees: </w:t>
      </w:r>
      <w:r>
        <w:rPr>
          <w:rFonts w:ascii="Calibri" w:cs="Calibri" w:eastAsia="Calibri" w:hAnsi="Calibri"/>
          <w:color w:val="555555"/>
          <w:sz w:val="20"/>
          <w:szCs w:val="20"/>
        </w:rPr>
        <w:t xml:space="preserve">Jerel (PM), John (UX Designer), Isaac (Dir. of Used), Fred (Evaluator Lead), Eddie, Shira (prior UX contributor referenced)</w:t>
      </w:r>
    </w:p>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Executive Summary</w:t>
      </w:r>
    </w:p>
    <w:p>
      <w:pPr>
        <w:spacing w:after="60" w:before="60"/>
      </w:pPr>
      <w:r>
        <w:rPr>
          <w:rFonts w:ascii="Calibri" w:cs="Calibri" w:eastAsia="Calibri" w:hAnsi="Calibri"/>
          <w:sz w:val="20"/>
          <w:szCs w:val="20"/>
        </w:rPr>
        <w:t xml:space="preserve">This session officially kicked off the Trade-In Email Refresh initiative (UX Discovery phase). The group reviewed the full suite of transactional emails sent throughout the sell-used and trade-in journeys, catalogued known pain points, aligned on scope (copy + design refresh only — no new logic in this pass), and established a two-meeting path to stakeholder presentation and Dev handoff.</w:t>
      </w:r>
    </w:p>
    <w:p>
      <w:pPr>
        <w:spacing w:after="60" w:before="60"/>
      </w:pPr>
      <w:r>
        <w:rPr>
          <w:rFonts w:ascii="Calibri" w:cs="Calibri" w:eastAsia="Calibri" w:hAnsi="Calibri"/>
          <w:sz w:val="20"/>
          <w:szCs w:val="20"/>
        </w:rPr>
        <w:t xml:space="preserve">Key outcome: One BHUX ticket for Discovery (sized Small–Medium) to be created and moved to "Ready for UX." John continues design work already in flight. Isaac and Fred to identify pain points per email before the next working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993A" w:sz="8"/>
              <w:left w:val="single" w:color="C8993A" w:sz="24"/>
              <w:bottom w:val="single" w:color="C8993A" w:sz="4"/>
              <w:right w:val="single" w:color="C8993A" w:sz="4"/>
            </w:tcBorders>
            <w:shd w:fill="FFF8E7" w:val="clear"/>
            <w:tcMar>
              <w:top w:type="dxa" w:w="100"/>
              <w:left w:type="dxa" w:w="160"/>
              <w:bottom w:type="dxa" w:w="100"/>
              <w:right w:type="dxa" w:w="160"/>
            </w:tcMar>
          </w:tcPr>
          <w:p>
            <w:pPr>
              <w:spacing w:after="0" w:before="0"/>
            </w:pPr>
            <w:r>
              <w:rPr>
                <w:rFonts w:ascii="Calibri" w:cs="Calibri" w:eastAsia="Calibri" w:hAnsi="Calibri"/>
                <w:b/>
                <w:bCs/>
                <w:color w:val="8B6914"/>
                <w:sz w:val="19"/>
                <w:szCs w:val="19"/>
              </w:rPr>
              <w:t xml:space="preserve">⚠ Scope boundary:  </w:t>
            </w:r>
            <w:r>
              <w:rPr>
                <w:rFonts w:ascii="Calibri" w:cs="Calibri" w:eastAsia="Calibri" w:hAnsi="Calibri"/>
                <w:color w:val="333333"/>
                <w:sz w:val="19"/>
                <w:szCs w:val="19"/>
              </w:rPr>
              <w:t xml:space="preserve">This ticket covers copy and visual design refresh only. New functionality (e.g., accessory checklist, accept/reject logic, ACH/direct deposit variant) is explicitly out of scope for this pass and will be addressed in subsequent tickets.</w:t>
            </w:r>
          </w:p>
        </w:tc>
      </w:tr>
    </w:tbl>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Context &amp; Background</w:t>
      </w:r>
    </w:p>
    <w:p>
      <w:pPr>
        <w:spacing w:after="80" w:before="240"/>
      </w:pPr>
      <w:r>
        <w:rPr>
          <w:rFonts w:ascii="Calibri" w:cs="Calibri" w:eastAsia="Calibri" w:hAnsi="Calibri"/>
          <w:b/>
          <w:bCs/>
          <w:color w:val="0F1F4B"/>
          <w:sz w:val="22"/>
          <w:szCs w:val="22"/>
        </w:rPr>
        <w:t xml:space="preserve">Why This Was Called Out as a Separate Initiative</w:t>
      </w:r>
    </w:p>
    <w:p>
      <w:pPr>
        <w:pStyle w:val="ListParagraph"/>
        <w:numPr>
          <w:ilvl w:val="0"/>
          <w:numId w:val="1"/>
        </w:numPr>
        <w:spacing w:after="40" w:before="40"/>
      </w:pPr>
      <w:r>
        <w:rPr>
          <w:rFonts w:ascii="Calibri" w:cs="Calibri" w:eastAsia="Calibri" w:hAnsi="Calibri"/>
          <w:sz w:val="20"/>
          <w:szCs w:val="20"/>
        </w:rPr>
        <w:t xml:space="preserve">The Sell Used redesign and Trade-In work are holistic, but email UX has its own ticket and its own delivery timing question.</w:t>
      </w:r>
    </w:p>
    <w:p>
      <w:pPr>
        <w:pStyle w:val="ListParagraph"/>
        <w:numPr>
          <w:ilvl w:val="0"/>
          <w:numId w:val="1"/>
        </w:numPr>
        <w:spacing w:after="40" w:before="40"/>
      </w:pPr>
      <w:r>
        <w:rPr>
          <w:rFonts w:ascii="Calibri" w:cs="Calibri" w:eastAsia="Calibri" w:hAnsi="Calibri"/>
          <w:sz w:val="20"/>
          <w:szCs w:val="20"/>
        </w:rPr>
        <w:t xml:space="preserve">Risk flagged: Avoid reaching PRF-ready architecture review stage without UX leadership sign-off on email logic and flows.</w:t>
      </w:r>
    </w:p>
    <w:p>
      <w:pPr>
        <w:pStyle w:val="ListParagraph"/>
        <w:numPr>
          <w:ilvl w:val="0"/>
          <w:numId w:val="1"/>
        </w:numPr>
        <w:spacing w:after="40" w:before="40"/>
      </w:pPr>
      <w:r>
        <w:rPr>
          <w:rFonts w:ascii="Calibri" w:cs="Calibri" w:eastAsia="Calibri" w:hAnsi="Calibri"/>
          <w:sz w:val="20"/>
          <w:szCs w:val="20"/>
        </w:rPr>
        <w:t xml:space="preserve">John has already done significant groundwork on the emails; this meeting was primarily for visibility, sizing, and stakeholder alignment.</w:t>
      </w:r>
    </w:p>
    <w:p>
      <w:pPr>
        <w:pStyle w:val="ListParagraph"/>
        <w:numPr>
          <w:ilvl w:val="0"/>
          <w:numId w:val="1"/>
        </w:numPr>
        <w:spacing w:after="40" w:before="40"/>
      </w:pPr>
      <w:r>
        <w:rPr>
          <w:rFonts w:ascii="Calibri" w:cs="Calibri" w:eastAsia="Calibri" w:hAnsi="Calibri"/>
          <w:sz w:val="20"/>
          <w:szCs w:val="20"/>
        </w:rPr>
        <w:t xml:space="preserve">Shira completed an earlier design pass that was put on hold pending template modernization — that work was reviewed and is considered a solid starting point.</w:t>
      </w:r>
    </w:p>
    <w:p>
      <w:pPr>
        <w:spacing w:after="0" w:before="100"/>
      </w:pPr>
    </w:p>
    <w:p>
      <w:pPr>
        <w:spacing w:after="80" w:before="240"/>
      </w:pPr>
      <w:r>
        <w:rPr>
          <w:rFonts w:ascii="Calibri" w:cs="Calibri" w:eastAsia="Calibri" w:hAnsi="Calibri"/>
          <w:b/>
          <w:bCs/>
          <w:color w:val="0F1F4B"/>
          <w:sz w:val="22"/>
          <w:szCs w:val="22"/>
        </w:rPr>
        <w:t xml:space="preserve">Email Universe — What's In Scope</w:t>
      </w:r>
    </w:p>
    <w:p>
      <w:pPr>
        <w:spacing w:after="60" w:before="60"/>
      </w:pPr>
      <w:r>
        <w:rPr>
          <w:rFonts w:ascii="Calibri" w:cs="Calibri" w:eastAsia="Calibri" w:hAnsi="Calibri"/>
          <w:sz w:val="20"/>
          <w:szCs w:val="20"/>
        </w:rPr>
        <w:t xml:space="preserve">Six to seven transactional emails spanning the sell-used and trade-in journeys:</w:t>
      </w:r>
    </w:p>
    <w:p>
      <w:pPr>
        <w:pStyle w:val="ListParagraph"/>
        <w:numPr>
          <w:ilvl w:val="0"/>
          <w:numId w:val="1"/>
        </w:numPr>
        <w:spacing w:after="40" w:before="40"/>
      </w:pPr>
      <w:r>
        <w:rPr>
          <w:rFonts w:ascii="Calibri" w:cs="Calibri" w:eastAsia="Calibri" w:hAnsi="Calibri"/>
          <w:sz w:val="20"/>
          <w:szCs w:val="20"/>
        </w:rPr>
        <w:t xml:space="preserve">Quote Confirmation 1A</w:t>
      </w:r>
    </w:p>
    <w:p>
      <w:pPr>
        <w:pStyle w:val="ListParagraph"/>
        <w:numPr>
          <w:ilvl w:val="1"/>
          <w:numId w:val="1"/>
        </w:numPr>
        <w:spacing w:after="30" w:before="30"/>
      </w:pPr>
      <w:r>
        <w:rPr>
          <w:rFonts w:ascii="Calibri" w:cs="Calibri" w:eastAsia="Calibri" w:hAnsi="Calibri"/>
          <w:color w:val="555555"/>
          <w:sz w:val="19"/>
          <w:szCs w:val="19"/>
        </w:rPr>
        <w:t xml:space="preserve">Default version: includes prepaid shipping label attachment</w:t>
      </w:r>
    </w:p>
    <w:p>
      <w:pPr>
        <w:pStyle w:val="ListParagraph"/>
        <w:numPr>
          <w:ilvl w:val="1"/>
          <w:numId w:val="1"/>
        </w:numPr>
        <w:spacing w:after="30" w:before="30"/>
      </w:pPr>
      <w:r>
        <w:rPr>
          <w:rFonts w:ascii="Calibri" w:cs="Calibri" w:eastAsia="Calibri" w:hAnsi="Calibri"/>
          <w:color w:val="555555"/>
          <w:sz w:val="19"/>
          <w:szCs w:val="19"/>
        </w:rPr>
        <w:t xml:space="preserve">Quote Confirmation 1B: International / non-contiguous-48-states variant — same content, no prepaid label, different copy re: label attachment</w:t>
      </w:r>
    </w:p>
    <w:p>
      <w:pPr>
        <w:pStyle w:val="ListParagraph"/>
        <w:numPr>
          <w:ilvl w:val="0"/>
          <w:numId w:val="1"/>
        </w:numPr>
        <w:spacing w:after="40" w:before="40"/>
      </w:pPr>
      <w:r>
        <w:rPr>
          <w:rFonts w:ascii="Calibri" w:cs="Calibri" w:eastAsia="Calibri" w:hAnsi="Calibri"/>
          <w:sz w:val="20"/>
          <w:szCs w:val="20"/>
        </w:rPr>
        <w:t xml:space="preserve">Items Received ("We got your gear")</w:t>
      </w:r>
    </w:p>
    <w:p>
      <w:pPr>
        <w:pStyle w:val="ListParagraph"/>
        <w:numPr>
          <w:ilvl w:val="1"/>
          <w:numId w:val="1"/>
        </w:numPr>
        <w:spacing w:after="30" w:before="30"/>
      </w:pPr>
      <w:r>
        <w:rPr>
          <w:rFonts w:ascii="Calibri" w:cs="Calibri" w:eastAsia="Calibri" w:hAnsi="Calibri"/>
          <w:color w:val="555555"/>
          <w:sz w:val="19"/>
          <w:szCs w:val="19"/>
        </w:rPr>
        <w:t xml:space="preserve">Separate copy-only ticket already in progress — considered mostly resolved</w:t>
      </w:r>
    </w:p>
    <w:p>
      <w:pPr>
        <w:pStyle w:val="ListParagraph"/>
        <w:numPr>
          <w:ilvl w:val="0"/>
          <w:numId w:val="1"/>
        </w:numPr>
        <w:spacing w:after="40" w:before="40"/>
      </w:pPr>
      <w:r>
        <w:rPr>
          <w:rFonts w:ascii="Calibri" w:cs="Calibri" w:eastAsia="Calibri" w:hAnsi="Calibri"/>
          <w:sz w:val="20"/>
          <w:szCs w:val="20"/>
        </w:rPr>
        <w:t xml:space="preserve">Evaluation Complete / Updated Quote Price</w:t>
      </w:r>
    </w:p>
    <w:p>
      <w:pPr>
        <w:pStyle w:val="ListParagraph"/>
        <w:numPr>
          <w:ilvl w:val="1"/>
          <w:numId w:val="1"/>
        </w:numPr>
        <w:spacing w:after="30" w:before="30"/>
      </w:pPr>
      <w:r>
        <w:rPr>
          <w:rFonts w:ascii="Calibri" w:cs="Calibri" w:eastAsia="Calibri" w:hAnsi="Calibri"/>
          <w:color w:val="555555"/>
          <w:sz w:val="19"/>
          <w:szCs w:val="19"/>
        </w:rPr>
        <w:t xml:space="preserve">Separate copy-only ticket already exists and can move independently</w:t>
      </w:r>
    </w:p>
    <w:p>
      <w:pPr>
        <w:pStyle w:val="ListParagraph"/>
        <w:numPr>
          <w:ilvl w:val="0"/>
          <w:numId w:val="1"/>
        </w:numPr>
        <w:spacing w:after="40" w:before="40"/>
      </w:pPr>
      <w:r>
        <w:rPr>
          <w:rFonts w:ascii="Calibri" w:cs="Calibri" w:eastAsia="Calibri" w:hAnsi="Calibri"/>
          <w:sz w:val="20"/>
          <w:szCs w:val="20"/>
        </w:rPr>
        <w:t xml:space="preserve">Payment Issued</w:t>
      </w:r>
    </w:p>
    <w:p>
      <w:pPr>
        <w:pStyle w:val="ListParagraph"/>
        <w:numPr>
          <w:ilvl w:val="1"/>
          <w:numId w:val="1"/>
        </w:numPr>
        <w:spacing w:after="30" w:before="30"/>
      </w:pPr>
      <w:r>
        <w:rPr>
          <w:rFonts w:ascii="Calibri" w:cs="Calibri" w:eastAsia="Calibri" w:hAnsi="Calibri"/>
          <w:color w:val="555555"/>
          <w:sz w:val="19"/>
          <w:szCs w:val="19"/>
        </w:rPr>
        <w:t xml:space="preserve">Three variants: check, store credit, gift card</w:t>
      </w:r>
    </w:p>
    <w:p>
      <w:pPr>
        <w:pStyle w:val="ListParagraph"/>
        <w:numPr>
          <w:ilvl w:val="0"/>
          <w:numId w:val="1"/>
        </w:numPr>
        <w:spacing w:after="40" w:before="40"/>
      </w:pPr>
      <w:r>
        <w:rPr>
          <w:rFonts w:ascii="Calibri" w:cs="Calibri" w:eastAsia="Calibri" w:hAnsi="Calibri"/>
          <w:sz w:val="20"/>
          <w:szCs w:val="20"/>
        </w:rPr>
        <w:t xml:space="preserve">Post-Payment / Confirmation</w:t>
      </w:r>
    </w:p>
    <w:p>
      <w:pPr>
        <w:pStyle w:val="ListParagraph"/>
        <w:numPr>
          <w:ilvl w:val="0"/>
          <w:numId w:val="1"/>
        </w:numPr>
        <w:spacing w:after="40" w:before="40"/>
      </w:pPr>
      <w:r>
        <w:rPr>
          <w:rFonts w:ascii="Calibri" w:cs="Calibri" w:eastAsia="Calibri" w:hAnsi="Calibri"/>
          <w:sz w:val="20"/>
          <w:szCs w:val="20"/>
        </w:rPr>
        <w:t xml:space="preserve">Used Seller Survey (post-transaction)</w:t>
      </w:r>
    </w:p>
    <w:p>
      <w:pPr>
        <w:pStyle w:val="ListParagraph"/>
        <w:numPr>
          <w:ilvl w:val="0"/>
          <w:numId w:val="1"/>
        </w:numPr>
        <w:spacing w:after="40" w:before="40"/>
      </w:pPr>
      <w:r>
        <w:rPr>
          <w:rFonts w:ascii="Calibri" w:cs="Calibri" w:eastAsia="Calibri" w:hAnsi="Calibri"/>
          <w:sz w:val="20"/>
          <w:szCs w:val="20"/>
        </w:rPr>
        <w:t xml:space="preserve">Trade-In Bonus Code Email</w:t>
      </w:r>
    </w:p>
    <w:p>
      <w:pPr>
        <w:pStyle w:val="ListParagraph"/>
        <w:numPr>
          <w:ilvl w:val="1"/>
          <w:numId w:val="1"/>
        </w:numPr>
        <w:spacing w:after="30" w:before="30"/>
      </w:pPr>
      <w:r>
        <w:rPr>
          <w:rFonts w:ascii="Calibri" w:cs="Calibri" w:eastAsia="Calibri" w:hAnsi="Calibri"/>
          <w:color w:val="555555"/>
          <w:sz w:val="19"/>
          <w:szCs w:val="19"/>
        </w:rPr>
        <w:t xml:space="preserve">Sometimes arrives before the seller sends in their item — timing issue flagged</w:t>
      </w:r>
    </w:p>
    <w:p>
      <w:pPr>
        <w:pStyle w:val="ListParagraph"/>
        <w:numPr>
          <w:ilvl w:val="1"/>
          <w:numId w:val="1"/>
        </w:numPr>
        <w:spacing w:after="30" w:before="30"/>
      </w:pPr>
      <w:r>
        <w:rPr>
          <w:rFonts w:ascii="Calibri" w:cs="Calibri" w:eastAsia="Calibri" w:hAnsi="Calibri"/>
          <w:color w:val="555555"/>
          <w:sz w:val="19"/>
          <w:szCs w:val="19"/>
        </w:rPr>
        <w:t xml:space="preserve">Canon promotion cited as example: $500 off regardless of whether item is sent</w:t>
      </w:r>
    </w:p>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Key Discussion Points</w:t>
      </w:r>
    </w:p>
    <w:p>
      <w:pPr>
        <w:spacing w:after="80" w:before="240"/>
      </w:pPr>
      <w:r>
        <w:rPr>
          <w:rFonts w:ascii="Calibri" w:cs="Calibri" w:eastAsia="Calibri" w:hAnsi="Calibri"/>
          <w:b/>
          <w:bCs/>
          <w:color w:val="0F1F4B"/>
          <w:sz w:val="22"/>
          <w:szCs w:val="22"/>
        </w:rPr>
        <w:t xml:space="preserve">1. Current Email Pain Points (Isaac + Group)</w:t>
      </w:r>
    </w:p>
    <w:p>
      <w:pPr>
        <w:pStyle w:val="ListParagraph"/>
        <w:numPr>
          <w:ilvl w:val="0"/>
          <w:numId w:val="1"/>
        </w:numPr>
        <w:spacing w:after="40" w:before="40"/>
      </w:pPr>
      <w:r>
        <w:rPr>
          <w:rFonts w:ascii="Calibri" w:cs="Calibri" w:eastAsia="Calibri" w:hAnsi="Calibri"/>
          <w:sz w:val="20"/>
          <w:szCs w:val="20"/>
        </w:rPr>
        <w:t xml:space="preserve">Quote confirmation email is visually outdated — does not match current order confirmation or shipping email look and feel.</w:t>
      </w:r>
    </w:p>
    <w:p>
      <w:pPr>
        <w:pStyle w:val="ListParagraph"/>
        <w:numPr>
          <w:ilvl w:val="0"/>
          <w:numId w:val="1"/>
        </w:numPr>
        <w:spacing w:after="40" w:before="40"/>
      </w:pPr>
      <w:r>
        <w:rPr>
          <w:rFonts w:ascii="Calibri" w:cs="Calibri" w:eastAsia="Calibri" w:hAnsi="Calibri"/>
          <w:sz w:val="20"/>
          <w:szCs w:val="20"/>
        </w:rPr>
        <w:t xml:space="preserve">Email design mismatches across the journey create a trust/credibility problem: customers see a polished order confirm, then a dated sell-used email.</w:t>
      </w:r>
    </w:p>
    <w:p>
      <w:pPr>
        <w:pStyle w:val="ListParagraph"/>
        <w:numPr>
          <w:ilvl w:val="0"/>
          <w:numId w:val="1"/>
        </w:numPr>
        <w:spacing w:after="40" w:before="40"/>
      </w:pPr>
      <w:r>
        <w:rPr>
          <w:rFonts w:ascii="Calibri" w:cs="Calibri" w:eastAsia="Calibri" w:hAnsi="Calibri"/>
          <w:sz w:val="20"/>
          <w:szCs w:val="20"/>
        </w:rPr>
        <w:t xml:space="preserve">Accessories not listed in the email or on the confirmation page — customers forget what they included in their quote; 10–15% of sell-used customers call to finalize the quote, with many citing basic confusion.</w:t>
      </w:r>
    </w:p>
    <w:p>
      <w:pPr>
        <w:pStyle w:val="ListParagraph"/>
        <w:numPr>
          <w:ilvl w:val="0"/>
          <w:numId w:val="1"/>
        </w:numPr>
        <w:spacing w:after="40" w:before="40"/>
      </w:pPr>
      <w:r>
        <w:rPr>
          <w:rFonts w:ascii="Calibri" w:cs="Calibri" w:eastAsia="Calibri" w:hAnsi="Calibri"/>
          <w:sz w:val="20"/>
          <w:szCs w:val="20"/>
        </w:rPr>
        <w:t xml:space="preserve">Prepaid shipping label is called a "return label" in some copy — creates confusion (am I returning something?). Copy should read "prepaid shipping label" or "free shipping label."</w:t>
      </w:r>
    </w:p>
    <w:p>
      <w:pPr>
        <w:pStyle w:val="ListParagraph"/>
        <w:numPr>
          <w:ilvl w:val="0"/>
          <w:numId w:val="1"/>
        </w:numPr>
        <w:spacing w:after="40" w:before="40"/>
      </w:pPr>
      <w:r>
        <w:rPr>
          <w:rFonts w:ascii="Calibri" w:cs="Calibri" w:eastAsia="Calibri" w:hAnsi="Calibri"/>
          <w:sz w:val="20"/>
          <w:szCs w:val="20"/>
        </w:rPr>
        <w:t xml:space="preserve">"Unsubscribe" footer appears on transactional emails — a ticket through Steven already exists to remove this. These are transactional, not marketing emails.</w:t>
      </w:r>
    </w:p>
    <w:p>
      <w:pPr>
        <w:pStyle w:val="ListParagraph"/>
        <w:numPr>
          <w:ilvl w:val="0"/>
          <w:numId w:val="1"/>
        </w:numPr>
        <w:spacing w:after="40" w:before="40"/>
      </w:pPr>
      <w:r>
        <w:rPr>
          <w:rFonts w:ascii="Calibri" w:cs="Calibri" w:eastAsia="Calibri" w:hAnsi="Calibri"/>
          <w:sz w:val="20"/>
          <w:szCs w:val="20"/>
        </w:rPr>
        <w:t xml:space="preserve">Multiple shipping labels: customers with large shipments sometimes need additional labels and have to call or email — not surfaced in current email.</w:t>
      </w:r>
    </w:p>
    <w:p>
      <w:pPr>
        <w:pStyle w:val="ListParagraph"/>
        <w:numPr>
          <w:ilvl w:val="0"/>
          <w:numId w:val="1"/>
        </w:numPr>
        <w:spacing w:after="40" w:before="40"/>
      </w:pPr>
      <w:r>
        <w:rPr>
          <w:rFonts w:ascii="Calibri" w:cs="Calibri" w:eastAsia="Calibri" w:hAnsi="Calibri"/>
          <w:sz w:val="20"/>
          <w:szCs w:val="20"/>
        </w:rPr>
        <w:t xml:space="preserve">Lithium-ion battery flagging: some shipments require external hazmat labeling — not currently communicated; reference to Amazon's approach noted.</w:t>
      </w:r>
    </w:p>
    <w:p>
      <w:pPr>
        <w:pStyle w:val="ListParagraph"/>
        <w:numPr>
          <w:ilvl w:val="0"/>
          <w:numId w:val="1"/>
        </w:numPr>
        <w:spacing w:after="40" w:before="40"/>
      </w:pPr>
      <w:r>
        <w:rPr>
          <w:rFonts w:ascii="Calibri" w:cs="Calibri" w:eastAsia="Calibri" w:hAnsi="Calibri"/>
          <w:sz w:val="20"/>
          <w:szCs w:val="20"/>
        </w:rPr>
        <w:t xml:space="preserve">Post-quote drop-off: ~50% of customers who initiate a quote do not proceed to ship. Quote confirmation email is a potential lever. Reasons unknown — research opportunity noted.</w:t>
      </w:r>
    </w:p>
    <w:p>
      <w:pPr>
        <w:pStyle w:val="ListParagraph"/>
        <w:numPr>
          <w:ilvl w:val="0"/>
          <w:numId w:val="1"/>
        </w:numPr>
        <w:spacing w:after="40" w:before="40"/>
      </w:pPr>
      <w:r>
        <w:rPr>
          <w:rFonts w:ascii="Calibri" w:cs="Calibri" w:eastAsia="Calibri" w:hAnsi="Calibri"/>
          <w:sz w:val="20"/>
          <w:szCs w:val="20"/>
        </w:rPr>
        <w:t xml:space="preserve">No phone number or easy escalation path in confirmation email for customers who want to adjust their quote (e.g., discovered a missing accessory).</w:t>
      </w:r>
    </w:p>
    <w:p>
      <w:pPr>
        <w:spacing w:after="0" w:before="80"/>
      </w:pPr>
    </w:p>
    <w:p>
      <w:pPr>
        <w:spacing w:after="80" w:before="240"/>
      </w:pPr>
      <w:r>
        <w:rPr>
          <w:rFonts w:ascii="Calibri" w:cs="Calibri" w:eastAsia="Calibri" w:hAnsi="Calibri"/>
          <w:b/>
          <w:bCs/>
          <w:color w:val="0F1F4B"/>
          <w:sz w:val="22"/>
          <w:szCs w:val="22"/>
        </w:rPr>
        <w:t xml:space="preserve">2. Sell-Used Funnel &amp; Data Discussion</w:t>
      </w:r>
    </w:p>
    <w:p>
      <w:pPr>
        <w:pStyle w:val="ListParagraph"/>
        <w:numPr>
          <w:ilvl w:val="0"/>
          <w:numId w:val="1"/>
        </w:numPr>
        <w:spacing w:after="40" w:before="40"/>
      </w:pPr>
      <w:r>
        <w:rPr>
          <w:rFonts w:ascii="Calibri" w:cs="Calibri" w:eastAsia="Calibri" w:hAnsi="Calibri"/>
          <w:sz w:val="20"/>
          <w:szCs w:val="20"/>
        </w:rPr>
        <w:t xml:space="preserve">Biggest funnel drop-off is between quote-view and quote-submission — at the "quote view" page after item is identified and priced.</w:t>
      </w:r>
    </w:p>
    <w:p>
      <w:pPr>
        <w:pStyle w:val="ListParagraph"/>
        <w:numPr>
          <w:ilvl w:val="0"/>
          <w:numId w:val="1"/>
        </w:numPr>
        <w:spacing w:after="40" w:before="40"/>
      </w:pPr>
      <w:r>
        <w:rPr>
          <w:rFonts w:ascii="Calibri" w:cs="Calibri" w:eastAsia="Calibri" w:hAnsi="Calibri"/>
          <w:sz w:val="20"/>
          <w:szCs w:val="20"/>
        </w:rPr>
        <w:t xml:space="preserve">KEH and MPB hide the quote price behind contact info capture; B&amp;H shows price upfront. Drop-off here may partly reflect intent-only browsing (checking price, not committing). Not necessarily a failure signal but worth tracking.</w:t>
      </w:r>
    </w:p>
    <w:p>
      <w:pPr>
        <w:pStyle w:val="ListParagraph"/>
        <w:numPr>
          <w:ilvl w:val="0"/>
          <w:numId w:val="1"/>
        </w:numPr>
        <w:spacing w:after="40" w:before="40"/>
      </w:pPr>
      <w:r>
        <w:rPr>
          <w:rFonts w:ascii="Calibri" w:cs="Calibri" w:eastAsia="Calibri" w:hAnsi="Calibri"/>
          <w:sz w:val="20"/>
          <w:szCs w:val="20"/>
        </w:rPr>
        <w:t xml:space="preserve">Custom quotes (buyer review required) estimated at 20–30% of all sell-used quotes; has fluctuated as item catalog and pricing logic evolved.</w:t>
      </w:r>
    </w:p>
    <w:p>
      <w:pPr>
        <w:pStyle w:val="ListParagraph"/>
        <w:numPr>
          <w:ilvl w:val="0"/>
          <w:numId w:val="1"/>
        </w:numPr>
        <w:spacing w:after="40" w:before="40"/>
      </w:pPr>
      <w:r>
        <w:rPr>
          <w:rFonts w:ascii="Calibri" w:cs="Calibri" w:eastAsia="Calibri" w:hAnsi="Calibri"/>
          <w:sz w:val="20"/>
          <w:szCs w:val="20"/>
        </w:rPr>
        <w:t xml:space="preserve">Quote-by-email option (items without instant pricing) is a recent addition; very few items currently have it but the goal is to expand the buyable universe.</w:t>
      </w:r>
    </w:p>
    <w:p>
      <w:pPr>
        <w:pStyle w:val="ListParagraph"/>
        <w:numPr>
          <w:ilvl w:val="0"/>
          <w:numId w:val="1"/>
        </w:numPr>
        <w:spacing w:after="40" w:before="40"/>
      </w:pPr>
      <w:r>
        <w:rPr>
          <w:rFonts w:ascii="Calibri" w:cs="Calibri" w:eastAsia="Calibri" w:hAnsi="Calibri"/>
          <w:sz w:val="20"/>
          <w:szCs w:val="20"/>
        </w:rPr>
        <w:t xml:space="preserve">Isaac to send over a list of data points / metrics he would like tracked to give the team a pre-launch baseline.</w:t>
      </w:r>
    </w:p>
    <w:p>
      <w:pPr>
        <w:pStyle w:val="ListParagraph"/>
        <w:numPr>
          <w:ilvl w:val="0"/>
          <w:numId w:val="1"/>
        </w:numPr>
        <w:spacing w:after="40" w:before="40"/>
      </w:pPr>
      <w:r>
        <w:rPr>
          <w:rFonts w:ascii="Calibri" w:cs="Calibri" w:eastAsia="Calibri" w:hAnsi="Calibri"/>
          <w:sz w:val="20"/>
          <w:szCs w:val="20"/>
        </w:rPr>
        <w:t xml:space="preserve">Baseline metrics requested: rolling 90-day quotes created, split by instant vs. custom/email quote; zero-results search rate; conversion from quote-view to quote-submit.</w:t>
      </w:r>
    </w:p>
    <w:p>
      <w:pPr>
        <w:pStyle w:val="ListParagraph"/>
        <w:numPr>
          <w:ilvl w:val="0"/>
          <w:numId w:val="1"/>
        </w:numPr>
        <w:spacing w:after="40" w:before="40"/>
      </w:pPr>
      <w:r>
        <w:rPr>
          <w:rFonts w:ascii="Calibri" w:cs="Calibri" w:eastAsia="Calibri" w:hAnsi="Calibri"/>
          <w:sz w:val="20"/>
          <w:szCs w:val="20"/>
        </w:rPr>
        <w:t xml:space="preserve">Post-launch tracking: new tagging should be built into development so lift is measurable against the baseline.</w:t>
      </w:r>
    </w:p>
    <w:p>
      <w:pPr>
        <w:spacing w:after="0" w:before="80"/>
      </w:pPr>
    </w:p>
    <w:p>
      <w:pPr>
        <w:spacing w:after="80" w:before="240"/>
      </w:pPr>
      <w:r>
        <w:rPr>
          <w:rFonts w:ascii="Calibri" w:cs="Calibri" w:eastAsia="Calibri" w:hAnsi="Calibri"/>
          <w:b/>
          <w:bCs/>
          <w:color w:val="0F1F4B"/>
          <w:sz w:val="22"/>
          <w:szCs w:val="22"/>
        </w:rPr>
        <w:t xml:space="preserve">3. Trade-In Credit Differential (Bonus Offer)</w:t>
      </w:r>
    </w:p>
    <w:p>
      <w:pPr>
        <w:pStyle w:val="ListParagraph"/>
        <w:numPr>
          <w:ilvl w:val="0"/>
          <w:numId w:val="1"/>
        </w:numPr>
        <w:spacing w:after="40" w:before="40"/>
      </w:pPr>
      <w:r>
        <w:rPr>
          <w:rFonts w:ascii="Calibri" w:cs="Calibri" w:eastAsia="Calibri" w:hAnsi="Calibri"/>
          <w:sz w:val="20"/>
          <w:szCs w:val="20"/>
        </w:rPr>
        <w:t xml:space="preserve">Customers frequently ask: "If I choose trade credit instead of a check, will I get more?" — a daily phone inquiry per buyers team.</w:t>
      </w:r>
    </w:p>
    <w:p>
      <w:pPr>
        <w:pStyle w:val="ListParagraph"/>
        <w:numPr>
          <w:ilvl w:val="0"/>
          <w:numId w:val="1"/>
        </w:numPr>
        <w:spacing w:after="40" w:before="40"/>
      </w:pPr>
      <w:r>
        <w:rPr>
          <w:rFonts w:ascii="Calibri" w:cs="Calibri" w:eastAsia="Calibri" w:hAnsi="Calibri"/>
          <w:sz w:val="20"/>
          <w:szCs w:val="20"/>
        </w:rPr>
        <w:t xml:space="preserve">B&amp;H philosophy: pay true fair value regardless of payment method. Current answer is no differential by default.</w:t>
      </w:r>
    </w:p>
    <w:p>
      <w:pPr>
        <w:pStyle w:val="ListParagraph"/>
        <w:numPr>
          <w:ilvl w:val="0"/>
          <w:numId w:val="1"/>
        </w:numPr>
        <w:spacing w:after="40" w:before="40"/>
      </w:pPr>
      <w:r>
        <w:rPr>
          <w:rFonts w:ascii="Calibri" w:cs="Calibri" w:eastAsia="Calibri" w:hAnsi="Calibri"/>
          <w:sz w:val="20"/>
          <w:szCs w:val="20"/>
        </w:rPr>
        <w:t xml:space="preserve">However, tax impact means trade-in credit is already effectively worth ~5–10% more (varies by state) — this is not being communicated, which is a missed opportunity.</w:t>
      </w:r>
    </w:p>
    <w:p>
      <w:pPr>
        <w:pStyle w:val="ListParagraph"/>
        <w:numPr>
          <w:ilvl w:val="0"/>
          <w:numId w:val="1"/>
        </w:numPr>
        <w:spacing w:after="40" w:before="40"/>
      </w:pPr>
      <w:r>
        <w:rPr>
          <w:rFonts w:ascii="Calibri" w:cs="Calibri" w:eastAsia="Calibri" w:hAnsi="Calibri"/>
          <w:sz w:val="20"/>
          <w:szCs w:val="20"/>
        </w:rPr>
        <w:t xml:space="preserve">B&amp;H does have informal price-matching capability (matching MPB, KEH quotes on request) — not advertised, handled case-by-case.</w:t>
      </w:r>
    </w:p>
    <w:p>
      <w:pPr>
        <w:pStyle w:val="ListParagraph"/>
        <w:numPr>
          <w:ilvl w:val="0"/>
          <w:numId w:val="1"/>
        </w:numPr>
        <w:spacing w:after="40" w:before="40"/>
      </w:pPr>
      <w:r>
        <w:rPr>
          <w:rFonts w:ascii="Calibri" w:cs="Calibri" w:eastAsia="Calibri" w:hAnsi="Calibri"/>
          <w:sz w:val="20"/>
          <w:szCs w:val="20"/>
        </w:rPr>
        <w:t xml:space="preserve">Isaac mentioned possibility of a goodwill gesture (e.g., $100 B&amp;H gift card) for high-value loyal customers who receive a significantly lower evaluation than their original quote. Not a formal policy.</w:t>
      </w:r>
    </w:p>
    <w:p>
      <w:pPr>
        <w:pStyle w:val="ListParagraph"/>
        <w:numPr>
          <w:ilvl w:val="0"/>
          <w:numId w:val="1"/>
        </w:numPr>
        <w:spacing w:after="40" w:before="40"/>
      </w:pPr>
      <w:r>
        <w:rPr>
          <w:rFonts w:ascii="Calibri" w:cs="Calibri" w:eastAsia="Calibri" w:hAnsi="Calibri"/>
          <w:sz w:val="20"/>
          <w:szCs w:val="20"/>
        </w:rPr>
        <w:t xml:space="preserve">B&amp;H evaluator model: lenient — quote is rarely lowered even if evaluator condition rating differs slightly from seller's assessment. This is a differentiator vs. competitors but is not communicated.</w:t>
      </w:r>
    </w:p>
    <w:p>
      <w:pPr>
        <w:spacing w:after="0" w:before="80"/>
      </w:pPr>
    </w:p>
    <w:p>
      <w:pPr>
        <w:spacing w:after="80" w:before="240"/>
      </w:pPr>
      <w:r>
        <w:rPr>
          <w:rFonts w:ascii="Calibri" w:cs="Calibri" w:eastAsia="Calibri" w:hAnsi="Calibri"/>
          <w:b/>
          <w:bCs/>
          <w:color w:val="0F1F4B"/>
          <w:sz w:val="22"/>
          <w:szCs w:val="22"/>
        </w:rPr>
        <w:t xml:space="preserve">4. B&amp;H Used Reviews / SEO Opportunity (Side Note)</w:t>
      </w:r>
    </w:p>
    <w:p>
      <w:pPr>
        <w:pStyle w:val="ListParagraph"/>
        <w:numPr>
          <w:ilvl w:val="0"/>
          <w:numId w:val="1"/>
        </w:numPr>
        <w:spacing w:after="40" w:before="40"/>
      </w:pPr>
      <w:r>
        <w:rPr>
          <w:rFonts w:ascii="Calibri" w:cs="Calibri" w:eastAsia="Calibri" w:hAnsi="Calibri"/>
          <w:sz w:val="20"/>
          <w:szCs w:val="20"/>
        </w:rPr>
        <w:t xml:space="preserve">No public-facing "I sold to B&amp;H" review platform exists; competitors (MPB, KEH) prominently feature Trust Pilot-style seller reviews.</w:t>
      </w:r>
    </w:p>
    <w:p>
      <w:pPr>
        <w:pStyle w:val="ListParagraph"/>
        <w:numPr>
          <w:ilvl w:val="0"/>
          <w:numId w:val="1"/>
        </w:numPr>
        <w:spacing w:after="40" w:before="40"/>
      </w:pPr>
      <w:r>
        <w:rPr>
          <w:rFonts w:ascii="Calibri" w:cs="Calibri" w:eastAsia="Calibri" w:hAnsi="Calibri"/>
          <w:sz w:val="20"/>
          <w:szCs w:val="20"/>
        </w:rPr>
        <w:t xml:space="preserve">B&amp;H has thousands of used seller survey responses internally — potential to surface these publicly.</w:t>
      </w:r>
    </w:p>
    <w:p>
      <w:pPr>
        <w:pStyle w:val="ListParagraph"/>
        <w:numPr>
          <w:ilvl w:val="0"/>
          <w:numId w:val="1"/>
        </w:numPr>
        <w:spacing w:after="40" w:before="40"/>
      </w:pPr>
      <w:r>
        <w:rPr>
          <w:rFonts w:ascii="Calibri" w:cs="Calibri" w:eastAsia="Calibri" w:hAnsi="Calibri"/>
          <w:sz w:val="20"/>
          <w:szCs w:val="20"/>
        </w:rPr>
        <w:t xml:space="preserve">Isaac's 2-year vision: a publicly available used seller/buyer review platform that builds SEO and trust. Technical home (sub-brand vs. main BH domain) TBD.</w:t>
      </w:r>
    </w:p>
    <w:p>
      <w:pPr>
        <w:pStyle w:val="ListParagraph"/>
        <w:numPr>
          <w:ilvl w:val="0"/>
          <w:numId w:val="1"/>
        </w:numPr>
        <w:spacing w:after="40" w:before="40"/>
      </w:pPr>
      <w:r>
        <w:rPr>
          <w:rFonts w:ascii="Calibri" w:cs="Calibri" w:eastAsia="Calibri" w:hAnsi="Calibri"/>
          <w:sz w:val="20"/>
          <w:szCs w:val="20"/>
        </w:rPr>
        <w:t xml:space="preserve">Photography opportunity: evaluator team could be used for marketing photography for used landing page / trade show materials (subject to team comfort with being on-camera). Ben has flagged this.</w:t>
      </w:r>
    </w:p>
    <w:p>
      <w:pPr>
        <w:pStyle w:val="ListParagraph"/>
        <w:numPr>
          <w:ilvl w:val="0"/>
          <w:numId w:val="1"/>
        </w:numPr>
        <w:spacing w:after="40" w:before="40"/>
      </w:pPr>
      <w:r>
        <w:rPr>
          <w:rFonts w:ascii="Calibri" w:cs="Calibri" w:eastAsia="Calibri" w:hAnsi="Calibri"/>
          <w:sz w:val="20"/>
          <w:szCs w:val="20"/>
        </w:rPr>
        <w:t xml:space="preserve">Flagged as future roadmap item, not in scope for current work.</w:t>
      </w:r>
    </w:p>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Scope Decisions &amp;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IN SCOPE (This Pass)</w:t>
            </w:r>
          </w:p>
        </w:tc>
        <w:tc>
          <w:tcPr>
            <w:tcW w:type="dxa" w:w="468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OUT OF SCOPE / DEFERRED</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Copy refresh across all 6–7 emails</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Accessory checklist in email (new logic)</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Visual design refresh to match current template system</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Accept/Reject quote flow within email</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Header/footer modernization</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ACH / direct deposit payment variant</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Remove "Unsubscribe" from transactional emails (existing ticket via Steven)</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Trade credit differential / bonus offer logic</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Correct "return label" → "prepaid shipping label" copy</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Public seller review platform</w:t>
            </w:r>
          </w:p>
        </w:tc>
      </w:tr>
      <w:tr>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Next-steps section in confirmation email (clear seller instructions)</w:t>
            </w:r>
          </w:p>
        </w:tc>
        <w:tc>
          <w:tcPr>
            <w:tcW w:type="dxa" w:w="46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PDF attachment redesign (separate ticket path)</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993A" w:sz="8"/>
              <w:left w:val="single" w:color="C8993A" w:sz="24"/>
              <w:bottom w:val="single" w:color="C8993A" w:sz="4"/>
              <w:right w:val="single" w:color="C8993A" w:sz="4"/>
            </w:tcBorders>
            <w:shd w:fill="FFF8E7" w:val="clear"/>
            <w:tcMar>
              <w:top w:type="dxa" w:w="100"/>
              <w:left w:type="dxa" w:w="160"/>
              <w:bottom w:type="dxa" w:w="100"/>
              <w:right w:type="dxa" w:w="160"/>
            </w:tcMar>
          </w:tcPr>
          <w:p>
            <w:pPr>
              <w:spacing w:after="0" w:before="0"/>
            </w:pPr>
            <w:r>
              <w:rPr>
                <w:rFonts w:ascii="Calibri" w:cs="Calibri" w:eastAsia="Calibri" w:hAnsi="Calibri"/>
                <w:b/>
                <w:bCs/>
                <w:color w:val="8B6914"/>
                <w:sz w:val="19"/>
                <w:szCs w:val="19"/>
              </w:rPr>
              <w:t xml:space="preserve">Launch sequencing:  </w:t>
            </w:r>
            <w:r>
              <w:rPr>
                <w:rFonts w:ascii="Calibri" w:cs="Calibri" w:eastAsia="Calibri" w:hAnsi="Calibri"/>
                <w:color w:val="333333"/>
                <w:sz w:val="19"/>
                <w:szCs w:val="19"/>
              </w:rPr>
              <w:t xml:space="preserve">Emails can launch independently or as a group. If quote confirmation email is ready first, it can ship without waiting for the full Sell Used flow redesign. Agreement was to keep the option open. Isaac preference: ideally all emails ship together so the journey feels consistent, but not a hard blocker.</w:t>
            </w:r>
          </w:p>
        </w:tc>
      </w:tr>
    </w:tbl>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Process &amp; Ticket Path</w:t>
      </w:r>
    </w:p>
    <w:p>
      <w:pPr>
        <w:spacing w:after="80" w:before="240"/>
      </w:pPr>
      <w:r>
        <w:rPr>
          <w:rFonts w:ascii="Calibri" w:cs="Calibri" w:eastAsia="Calibri" w:hAnsi="Calibri"/>
          <w:b/>
          <w:bCs/>
          <w:color w:val="0F1F4B"/>
          <w:sz w:val="22"/>
          <w:szCs w:val="22"/>
        </w:rPr>
        <w:t xml:space="preserve">Ticket Structure Decided</w:t>
      </w:r>
    </w:p>
    <w:p>
      <w:pPr>
        <w:pStyle w:val="ListParagraph"/>
        <w:numPr>
          <w:ilvl w:val="0"/>
          <w:numId w:val="1"/>
        </w:numPr>
        <w:spacing w:after="40" w:before="40"/>
      </w:pPr>
      <w:r>
        <w:rPr>
          <w:rFonts w:ascii="Calibri" w:cs="Calibri" w:eastAsia="Calibri" w:hAnsi="Calibri"/>
          <w:sz w:val="20"/>
          <w:szCs w:val="20"/>
        </w:rPr>
        <w:t xml:space="preserve">One BHUX Discovery ticket for Trade-In Email Refresh (not split by email).</w:t>
      </w:r>
    </w:p>
    <w:p>
      <w:pPr>
        <w:pStyle w:val="ListParagraph"/>
        <w:numPr>
          <w:ilvl w:val="0"/>
          <w:numId w:val="1"/>
        </w:numPr>
        <w:spacing w:after="40" w:before="40"/>
      </w:pPr>
      <w:r>
        <w:rPr>
          <w:rFonts w:ascii="Calibri" w:cs="Calibri" w:eastAsia="Calibri" w:hAnsi="Calibri"/>
          <w:sz w:val="20"/>
          <w:szCs w:val="20"/>
        </w:rPr>
        <w:t xml:space="preserve">Size: Small (could extend to Medium). John is already far along.</w:t>
      </w:r>
    </w:p>
    <w:p>
      <w:pPr>
        <w:pStyle w:val="ListParagraph"/>
        <w:numPr>
          <w:ilvl w:val="0"/>
          <w:numId w:val="1"/>
        </w:numPr>
        <w:spacing w:after="40" w:before="40"/>
      </w:pPr>
      <w:r>
        <w:rPr>
          <w:rFonts w:ascii="Calibri" w:cs="Calibri" w:eastAsia="Calibri" w:hAnsi="Calibri"/>
          <w:sz w:val="20"/>
          <w:szCs w:val="20"/>
        </w:rPr>
        <w:t xml:space="preserve">Status: Move to "Ready for UX" once Jerel updates the ticket name to "Trade-In Email Refresh — Discovery."</w:t>
      </w:r>
    </w:p>
    <w:p>
      <w:pPr>
        <w:pStyle w:val="ListParagraph"/>
        <w:numPr>
          <w:ilvl w:val="0"/>
          <w:numId w:val="1"/>
        </w:numPr>
        <w:spacing w:after="40" w:before="40"/>
      </w:pPr>
      <w:r>
        <w:rPr>
          <w:rFonts w:ascii="Calibri" w:cs="Calibri" w:eastAsia="Calibri" w:hAnsi="Calibri"/>
          <w:sz w:val="20"/>
          <w:szCs w:val="20"/>
        </w:rPr>
        <w:t xml:space="preserve">Separate BHUX design ticket will follow once Discovery is complete.</w:t>
      </w:r>
    </w:p>
    <w:p>
      <w:pPr>
        <w:pStyle w:val="ListParagraph"/>
        <w:numPr>
          <w:ilvl w:val="0"/>
          <w:numId w:val="1"/>
        </w:numPr>
        <w:spacing w:after="40" w:before="40"/>
      </w:pPr>
      <w:r>
        <w:rPr>
          <w:rFonts w:ascii="Calibri" w:cs="Calibri" w:eastAsia="Calibri" w:hAnsi="Calibri"/>
          <w:sz w:val="20"/>
          <w:szCs w:val="20"/>
        </w:rPr>
        <w:t xml:space="preserve">Epic already exists — this ticket links into it.</w:t>
      </w:r>
    </w:p>
    <w:p>
      <w:pPr>
        <w:spacing w:after="0" w:before="80"/>
      </w:pPr>
    </w:p>
    <w:p>
      <w:pPr>
        <w:spacing w:after="80" w:before="240"/>
      </w:pPr>
      <w:r>
        <w:rPr>
          <w:rFonts w:ascii="Calibri" w:cs="Calibri" w:eastAsia="Calibri" w:hAnsi="Calibri"/>
          <w:b/>
          <w:bCs/>
          <w:color w:val="0F1F4B"/>
          <w:sz w:val="22"/>
          <w:szCs w:val="22"/>
        </w:rPr>
        <w:t xml:space="preserve">Stakeholder Review Flow</w:t>
      </w:r>
    </w:p>
    <w:p>
      <w:pPr>
        <w:pStyle w:val="ListParagraph"/>
        <w:numPr>
          <w:ilvl w:val="0"/>
          <w:numId w:val="1"/>
        </w:numPr>
        <w:spacing w:after="40" w:before="40"/>
      </w:pPr>
      <w:r>
        <w:rPr>
          <w:rFonts w:ascii="Calibri" w:cs="Calibri" w:eastAsia="Calibri" w:hAnsi="Calibri"/>
          <w:sz w:val="20"/>
          <w:szCs w:val="20"/>
        </w:rPr>
        <w:t xml:space="preserve">Step 1 — Isaac + Fred working session: Review all 6–7 emails; call out pain points, missing content, copy issues. (Before or same week as Step 2.)</w:t>
      </w:r>
    </w:p>
    <w:p>
      <w:pPr>
        <w:pStyle w:val="ListParagraph"/>
        <w:numPr>
          <w:ilvl w:val="0"/>
          <w:numId w:val="1"/>
        </w:numPr>
        <w:spacing w:after="40" w:before="40"/>
      </w:pPr>
      <w:r>
        <w:rPr>
          <w:rFonts w:ascii="Calibri" w:cs="Calibri" w:eastAsia="Calibri" w:hAnsi="Calibri"/>
          <w:sz w:val="20"/>
          <w:szCs w:val="20"/>
        </w:rPr>
        <w:t xml:space="preserve">Step 2 — Working session with John + Eddie: Walk through email by email; size issues, align on copy and design direction. (~1 week of meetings.)</w:t>
      </w:r>
    </w:p>
    <w:p>
      <w:pPr>
        <w:pStyle w:val="ListParagraph"/>
        <w:numPr>
          <w:ilvl w:val="0"/>
          <w:numId w:val="1"/>
        </w:numPr>
        <w:spacing w:after="40" w:before="40"/>
      </w:pPr>
      <w:r>
        <w:rPr>
          <w:rFonts w:ascii="Calibri" w:cs="Calibri" w:eastAsia="Calibri" w:hAnsi="Calibri"/>
          <w:sz w:val="20"/>
          <w:szCs w:val="20"/>
        </w:rPr>
        <w:t xml:space="preserve">Step 3 — Internal UX leadership design review.</w:t>
      </w:r>
    </w:p>
    <w:p>
      <w:pPr>
        <w:pStyle w:val="ListParagraph"/>
        <w:numPr>
          <w:ilvl w:val="0"/>
          <w:numId w:val="1"/>
        </w:numPr>
        <w:spacing w:after="40" w:before="40"/>
      </w:pPr>
      <w:r>
        <w:rPr>
          <w:rFonts w:ascii="Calibri" w:cs="Calibri" w:eastAsia="Calibri" w:hAnsi="Calibri"/>
          <w:sz w:val="20"/>
          <w:szCs w:val="20"/>
        </w:rPr>
        <w:t xml:space="preserve">Step 4 — Return to stakeholder group (Isaac, Fred, others) with refined designs.</w:t>
      </w:r>
    </w:p>
    <w:p>
      <w:pPr>
        <w:pStyle w:val="ListParagraph"/>
        <w:numPr>
          <w:ilvl w:val="0"/>
          <w:numId w:val="1"/>
        </w:numPr>
        <w:spacing w:after="40" w:before="40"/>
      </w:pPr>
      <w:r>
        <w:rPr>
          <w:rFonts w:ascii="Calibri" w:cs="Calibri" w:eastAsia="Calibri" w:hAnsi="Calibri"/>
          <w:sz w:val="20"/>
          <w:szCs w:val="20"/>
        </w:rPr>
        <w:t xml:space="preserve">Step 5 — Push to BHUX or BHJ for Dev (to be determined).</w:t>
      </w:r>
    </w:p>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Open Questions &amp; Deferred Topics</w:t>
      </w:r>
    </w:p>
    <w:p>
      <w:pPr>
        <w:pStyle w:val="ListParagraph"/>
        <w:numPr>
          <w:ilvl w:val="0"/>
          <w:numId w:val="1"/>
        </w:numPr>
        <w:spacing w:after="40" w:before="40"/>
      </w:pPr>
      <w:r>
        <w:rPr>
          <w:rFonts w:ascii="Calibri" w:cs="Calibri" w:eastAsia="Calibri" w:hAnsi="Calibri"/>
          <w:sz w:val="20"/>
          <w:szCs w:val="20"/>
        </w:rPr>
        <w:t xml:space="preserve">Should the PDF attachment be redesigned in this pass? Currently out of scope. If accessory list is to be included in the email body, that may require logic. Separate ticket path.</w:t>
      </w:r>
    </w:p>
    <w:p>
      <w:pPr>
        <w:pStyle w:val="ListParagraph"/>
        <w:numPr>
          <w:ilvl w:val="0"/>
          <w:numId w:val="1"/>
        </w:numPr>
        <w:spacing w:after="40" w:before="40"/>
      </w:pPr>
      <w:r>
        <w:rPr>
          <w:rFonts w:ascii="Calibri" w:cs="Calibri" w:eastAsia="Calibri" w:hAnsi="Calibri"/>
          <w:sz w:val="20"/>
          <w:szCs w:val="20"/>
        </w:rPr>
        <w:t xml:space="preserve">ACH / direct deposit payment variant: Design a variant now and hold it until ready, or wait? Consensus: hold; design the variant separately so it's ready to slot in.</w:t>
      </w:r>
    </w:p>
    <w:p>
      <w:pPr>
        <w:pStyle w:val="ListParagraph"/>
        <w:numPr>
          <w:ilvl w:val="0"/>
          <w:numId w:val="1"/>
        </w:numPr>
        <w:spacing w:after="40" w:before="40"/>
      </w:pPr>
      <w:r>
        <w:rPr>
          <w:rFonts w:ascii="Calibri" w:cs="Calibri" w:eastAsia="Calibri" w:hAnsi="Calibri"/>
          <w:sz w:val="20"/>
          <w:szCs w:val="20"/>
        </w:rPr>
        <w:t xml:space="preserve">Is "Evaluation Complete" email strictly copy-only or does it need design? Separate existing ticket — likely can move independently.</w:t>
      </w:r>
    </w:p>
    <w:p>
      <w:pPr>
        <w:pStyle w:val="ListParagraph"/>
        <w:numPr>
          <w:ilvl w:val="0"/>
          <w:numId w:val="1"/>
        </w:numPr>
        <w:spacing w:after="40" w:before="40"/>
      </w:pPr>
      <w:r>
        <w:rPr>
          <w:rFonts w:ascii="Calibri" w:cs="Calibri" w:eastAsia="Calibri" w:hAnsi="Calibri"/>
          <w:sz w:val="20"/>
          <w:szCs w:val="20"/>
        </w:rPr>
        <w:t xml:space="preserve">Trade-in bonus code: Can customers use it before they send in their item? Currently: no. Vendor (e.g., Canon) promotion may allow this regardless — Isaac to clarify rules.</w:t>
      </w:r>
    </w:p>
    <w:p>
      <w:pPr>
        <w:pStyle w:val="ListParagraph"/>
        <w:numPr>
          <w:ilvl w:val="0"/>
          <w:numId w:val="1"/>
        </w:numPr>
        <w:spacing w:after="40" w:before="40"/>
      </w:pPr>
      <w:r>
        <w:rPr>
          <w:rFonts w:ascii="Calibri" w:cs="Calibri" w:eastAsia="Calibri" w:hAnsi="Calibri"/>
          <w:sz w:val="20"/>
          <w:szCs w:val="20"/>
        </w:rPr>
        <w:t xml:space="preserve">How should Isaac's "loyalty gesture" (gift card for lower-than-expected evaluation) be operationalized? Not a UX decision — flagged for business process conversation.</w:t>
      </w:r>
    </w:p>
    <w:p>
      <w:pPr>
        <w:pStyle w:val="ListParagraph"/>
        <w:numPr>
          <w:ilvl w:val="0"/>
          <w:numId w:val="1"/>
        </w:numPr>
        <w:spacing w:after="40" w:before="40"/>
      </w:pPr>
      <w:r>
        <w:rPr>
          <w:rFonts w:ascii="Calibri" w:cs="Calibri" w:eastAsia="Calibri" w:hAnsi="Calibri"/>
          <w:sz w:val="20"/>
          <w:szCs w:val="20"/>
        </w:rPr>
        <w:t xml:space="preserve">Zero-results search rate data: Does the current system track it? One-time report possible via BH reporting infrastructure. Jerel to initiate.</w:t>
      </w:r>
    </w:p>
    <w:p>
      <w:pPr>
        <w:pStyle w:val="ListParagraph"/>
        <w:numPr>
          <w:ilvl w:val="0"/>
          <w:numId w:val="1"/>
        </w:numPr>
        <w:spacing w:after="40" w:before="40"/>
      </w:pPr>
      <w:r>
        <w:rPr>
          <w:rFonts w:ascii="Calibri" w:cs="Calibri" w:eastAsia="Calibri" w:hAnsi="Calibri"/>
          <w:sz w:val="20"/>
          <w:szCs w:val="20"/>
        </w:rPr>
        <w:t xml:space="preserve">Alice (UX Leadership): needs to be pulled into the stakeholder loop. Jerel to initiate a new Teams chat with the BHUX ticket number including Jerel, John, Eddie, Alice.</w:t>
      </w:r>
    </w:p>
    <w:p>
      <w:pPr>
        <w:pStyle w:val="ListParagraph"/>
        <w:numPr>
          <w:ilvl w:val="0"/>
          <w:numId w:val="1"/>
        </w:numPr>
        <w:spacing w:after="40" w:before="40"/>
      </w:pPr>
      <w:r>
        <w:rPr>
          <w:rFonts w:ascii="Calibri" w:cs="Calibri" w:eastAsia="Calibri" w:hAnsi="Calibri"/>
          <w:sz w:val="20"/>
          <w:szCs w:val="20"/>
        </w:rPr>
        <w:t xml:space="preserve">Desktop vs. mobile email design: both required per Isaac. John to confirm both are represented in Figma file.</w:t>
      </w:r>
    </w:p>
    <w:p>
      <w:pPr>
        <w:spacing w:after="0" w:before="160"/>
      </w:pPr>
    </w:p>
    <w:p>
      <w:pPr>
        <w:pBdr>
          <w:bottom w:val="single" w:color="C8993A" w:sz="12"/>
        </w:pBdr>
        <w:spacing w:after="120" w:before="320"/>
      </w:pPr>
      <w:r>
        <w:rPr>
          <w:rFonts w:ascii="Calibri" w:cs="Calibri" w:eastAsia="Calibri" w:hAnsi="Calibri"/>
          <w:b/>
          <w:bCs/>
          <w:color w:val="0F1F4B"/>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1800"/>
        <w:gridCol w:w="1200"/>
        <w:gridCol w:w="2580"/>
      </w:tblGrid>
      <w:tr>
        <w:trPr>
          <w:tblHeader/>
        </w:trPr>
        <w:tc>
          <w:tcPr>
            <w:tcW w:type="dxa" w:w="378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Action Item</w:t>
            </w:r>
          </w:p>
        </w:tc>
        <w:tc>
          <w:tcPr>
            <w:tcW w:type="dxa" w:w="180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Owner</w:t>
            </w:r>
          </w:p>
        </w:tc>
        <w:tc>
          <w:tcPr>
            <w:tcW w:type="dxa" w:w="120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Priority</w:t>
            </w:r>
          </w:p>
        </w:tc>
        <w:tc>
          <w:tcPr>
            <w:tcW w:type="dxa" w:w="2580"/>
            <w:shd w:fill="0F1F4B"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Notes</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Rename ticket to "Trade-In Email Refresh — Discovery"; update to Ready for UX; link to Epic</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Jerel</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Ticket is BHP/BHUX; size: Small</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Create new Teams chat with BHUX ticket # — include Jerel, John, Eddie, Alice</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Jerel</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One chat per project to avoid noise</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Review all 6–7 emails; document pain points per email (copy issues, missing content, unclear steps)</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Isaac + Fred</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Before working session w/ John; Fred off Thursday</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Share list of baseline metrics / data points requested for pre-launch tracking</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Isaac → Jerel</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Rolling 90-day quote splits, conversion, zero-results rate</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Confirm all emails represented in Figma (including mobile variants); share file access with Isaac</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John</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Shira's prior designs are the starting point</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Book working session: Isaac + Fred + John + Eddie to walk email by email (~1 hr)</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Jerel</w:t>
            </w:r>
          </w:p>
        </w:tc>
        <w:tc>
          <w:tcPr>
            <w:tcW w:type="dxa" w:w="1200"/>
            <w:shd w:fill="FFF0F0" w:val="clear"/>
            <w:tcMar>
              <w:top w:type="dxa" w:w="70"/>
              <w:left w:type="dxa" w:w="120"/>
              <w:bottom w:type="dxa" w:w="70"/>
              <w:right w:type="dxa" w:w="120"/>
            </w:tcMar>
          </w:tcPr>
          <w:p>
            <w:pPr>
              <w:spacing w:after="0" w:before="0"/>
            </w:pPr>
            <w:r>
              <w:rPr>
                <w:rFonts w:ascii="Calibri" w:cs="Calibri" w:eastAsia="Calibri" w:hAnsi="Calibri"/>
                <w:sz w:val="18"/>
                <w:szCs w:val="18"/>
              </w:rPr>
              <w:t xml:space="preserve">High</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"Work session" framing, not grooming</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Initiate one-time data pull: 90-day quotes by type (instant vs. custom), zero-results rate</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Jerel (initiates with BH reporting)</w:t>
            </w:r>
          </w:p>
        </w:tc>
        <w:tc>
          <w:tcPr>
            <w:tcW w:type="dxa" w:w="1200"/>
            <w:shd w:fill="FFFBE6" w:val="clear"/>
            <w:tcMar>
              <w:top w:type="dxa" w:w="70"/>
              <w:left w:type="dxa" w:w="120"/>
              <w:bottom w:type="dxa" w:w="70"/>
              <w:right w:type="dxa" w:w="120"/>
            </w:tcMar>
          </w:tcPr>
          <w:p>
            <w:pPr>
              <w:spacing w:after="0" w:before="0"/>
            </w:pPr>
            <w:r>
              <w:rPr>
                <w:rFonts w:ascii="Calibri" w:cs="Calibri" w:eastAsia="Calibri" w:hAnsi="Calibri"/>
                <w:sz w:val="18"/>
                <w:szCs w:val="18"/>
              </w:rPr>
              <w:t xml:space="preserve">Medium</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Establishes baseline before new flow goes live</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Design ACH/direct-deposit payment email variant; hold until feature is ready</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John</w:t>
            </w:r>
          </w:p>
        </w:tc>
        <w:tc>
          <w:tcPr>
            <w:tcW w:type="dxa" w:w="1200"/>
            <w:shd w:fill="FFFBE6" w:val="clear"/>
            <w:tcMar>
              <w:top w:type="dxa" w:w="70"/>
              <w:left w:type="dxa" w:w="120"/>
              <w:bottom w:type="dxa" w:w="70"/>
              <w:right w:type="dxa" w:w="120"/>
            </w:tcMar>
          </w:tcPr>
          <w:p>
            <w:pPr>
              <w:spacing w:after="0" w:before="0"/>
            </w:pPr>
            <w:r>
              <w:rPr>
                <w:rFonts w:ascii="Calibri" w:cs="Calibri" w:eastAsia="Calibri" w:hAnsi="Calibri"/>
                <w:sz w:val="18"/>
                <w:szCs w:val="18"/>
              </w:rPr>
              <w:t xml:space="preserve">Medium</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Don't wait — design now, release when ready</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Remove Unsubscribe from transactional emails (existing ticket through Steven)</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Steven (existing)</w:t>
            </w:r>
          </w:p>
        </w:tc>
        <w:tc>
          <w:tcPr>
            <w:tcW w:type="dxa" w:w="1200"/>
            <w:shd w:fill="FFFBE6" w:val="clear"/>
            <w:tcMar>
              <w:top w:type="dxa" w:w="70"/>
              <w:left w:type="dxa" w:w="120"/>
              <w:bottom w:type="dxa" w:w="70"/>
              <w:right w:type="dxa" w:w="120"/>
            </w:tcMar>
          </w:tcPr>
          <w:p>
            <w:pPr>
              <w:spacing w:after="0" w:before="0"/>
            </w:pPr>
            <w:r>
              <w:rPr>
                <w:rFonts w:ascii="Calibri" w:cs="Calibri" w:eastAsia="Calibri" w:hAnsi="Calibri"/>
                <w:sz w:val="18"/>
                <w:szCs w:val="18"/>
              </w:rPr>
              <w:t xml:space="preserve">Medium</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Already ticketed; confirm status</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Clarify Canon/vendor trade-in bonus code rules: can customer use before item received?</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Isaac</w:t>
            </w:r>
          </w:p>
        </w:tc>
        <w:tc>
          <w:tcPr>
            <w:tcW w:type="dxa" w:w="1200"/>
            <w:shd w:fill="F0F7F0" w:val="clear"/>
            <w:tcMar>
              <w:top w:type="dxa" w:w="70"/>
              <w:left w:type="dxa" w:w="120"/>
              <w:bottom w:type="dxa" w:w="70"/>
              <w:right w:type="dxa" w:w="120"/>
            </w:tcMar>
          </w:tcPr>
          <w:p>
            <w:pPr>
              <w:spacing w:after="0" w:before="0"/>
            </w:pPr>
            <w:r>
              <w:rPr>
                <w:rFonts w:ascii="Calibri" w:cs="Calibri" w:eastAsia="Calibri" w:hAnsi="Calibri"/>
                <w:sz w:val="18"/>
                <w:szCs w:val="18"/>
              </w:rPr>
              <w:t xml:space="preserve">Low</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Informational; affects copy in trade-in bonus email</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Explore public seller review platform feasibility (domain, technical home)</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Isaac + Jerel (future)</w:t>
            </w:r>
          </w:p>
        </w:tc>
        <w:tc>
          <w:tcPr>
            <w:tcW w:type="dxa" w:w="1200"/>
            <w:shd w:fill="F0F7F0" w:val="clear"/>
            <w:tcMar>
              <w:top w:type="dxa" w:w="70"/>
              <w:left w:type="dxa" w:w="120"/>
              <w:bottom w:type="dxa" w:w="70"/>
              <w:right w:type="dxa" w:w="120"/>
            </w:tcMar>
          </w:tcPr>
          <w:p>
            <w:pPr>
              <w:spacing w:after="0" w:before="0"/>
            </w:pPr>
            <w:r>
              <w:rPr>
                <w:rFonts w:ascii="Calibri" w:cs="Calibri" w:eastAsia="Calibri" w:hAnsi="Calibri"/>
                <w:sz w:val="18"/>
                <w:szCs w:val="18"/>
              </w:rPr>
              <w:t xml:space="preserve">Low</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2-year vision; not in current roadmap</w:t>
            </w:r>
          </w:p>
        </w:tc>
      </w:tr>
      <w:tr>
        <w:tc>
          <w:tcPr>
            <w:tcW w:type="dxa" w:w="37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Evaluator team photography for marketing: follow up with Ben re: interest</w:t>
            </w:r>
          </w:p>
        </w:tc>
        <w:tc>
          <w:tcPr>
            <w:tcW w:type="dxa" w:w="180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Isaac / Ben</w:t>
            </w:r>
          </w:p>
        </w:tc>
        <w:tc>
          <w:tcPr>
            <w:tcW w:type="dxa" w:w="1200"/>
            <w:shd w:fill="F0F7F0" w:val="clear"/>
            <w:tcMar>
              <w:top w:type="dxa" w:w="70"/>
              <w:left w:type="dxa" w:w="120"/>
              <w:bottom w:type="dxa" w:w="70"/>
              <w:right w:type="dxa" w:w="120"/>
            </w:tcMar>
          </w:tcPr>
          <w:p>
            <w:pPr>
              <w:spacing w:after="0" w:before="0"/>
            </w:pPr>
            <w:r>
              <w:rPr>
                <w:rFonts w:ascii="Calibri" w:cs="Calibri" w:eastAsia="Calibri" w:hAnsi="Calibri"/>
                <w:sz w:val="18"/>
                <w:szCs w:val="18"/>
              </w:rPr>
              <w:t xml:space="preserve">Low</w:t>
            </w:r>
          </w:p>
        </w:tc>
        <w:tc>
          <w:tcPr>
            <w:tcW w:type="dxa" w:w="2580"/>
            <w:shd w:fill="FFFFFF" w:val="clear"/>
            <w:tcMar>
              <w:top w:type="dxa" w:w="70"/>
              <w:left w:type="dxa" w:w="120"/>
              <w:bottom w:type="dxa" w:w="70"/>
              <w:right w:type="dxa" w:w="120"/>
            </w:tcMar>
          </w:tcPr>
          <w:p>
            <w:pPr>
              <w:spacing w:after="0" w:before="0"/>
            </w:pPr>
            <w:r>
              <w:rPr>
                <w:rFonts w:ascii="Calibri" w:cs="Calibri" w:eastAsia="Calibri" w:hAnsi="Calibri"/>
                <w:sz w:val="18"/>
                <w:szCs w:val="18"/>
              </w:rPr>
              <w:t xml:space="preserve">Used landing page + trade show use</w:t>
            </w:r>
          </w:p>
        </w:tc>
      </w:tr>
    </w:tbl>
    <w:p>
      <w:pPr>
        <w:spacing w:after="0" w:before="200"/>
      </w:pPr>
    </w:p>
    <w:p>
      <w:pPr>
        <w:pBdr>
          <w:top w:val="single" w:color="D0D0D0" w:sz="4"/>
        </w:pBdr>
        <w:spacing w:before="120"/>
        <w:jc w:val="center"/>
      </w:pPr>
      <w:r>
        <w:rPr>
          <w:rFonts w:ascii="Calibri" w:cs="Calibri" w:eastAsia="Calibri" w:hAnsi="Calibri"/>
          <w:color w:val="999999"/>
          <w:sz w:val="16"/>
          <w:szCs w:val="16"/>
        </w:rPr>
        <w:t xml:space="preserve">B&amp;H Used Web · Confidential Internal Document · </w:t>
      </w:r>
      <w:r>
        <w:rPr>
          <w:rFonts w:ascii="Calibri" w:cs="Calibri" w:eastAsia="Calibri" w:hAnsi="Calibri"/>
          <w:color w:val="999999"/>
          <w:sz w:val="16"/>
          <w:szCs w:val="16"/>
        </w:rPr>
        <w:t xml:space="preserve">PM: Jerel Smith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2026-07-15T13:42:14.549Z</dcterms:created>
  <dcterms:modified xsi:type="dcterms:W3CDTF">2026-07-15T13:42:14.561Z</dcterms:modified>
</cp:coreProperties>
</file>

<file path=docProps/custom.xml><?xml version="1.0" encoding="utf-8"?>
<Properties xmlns="http://schemas.openxmlformats.org/officeDocument/2006/custom-properties" xmlns:vt="http://schemas.openxmlformats.org/officeDocument/2006/docPropsVTypes"/>
</file>