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Calendrier budgétaire (DOCUMENT FICTIF DE TEST)</w:t>
      </w:r>
    </w:p>
    <w:p>
      <w:r>
        <w:t>Ce document est fictif et sert uniquement aux tests.</w:t>
      </w:r>
    </w:p>
    <w:p>
      <w:pPr>
        <w:pStyle w:val="Heading2"/>
      </w:pPr>
      <w:r>
        <w:t>Étapes</w:t>
      </w:r>
    </w:p>
    <w:p>
      <w:r>
        <w:t>La lettre de cadrage budgétaire est diffusée en mai. Les arbitrages sont rendus en septembre.</w:t>
      </w:r>
    </w:p>
    <w:p>
      <w:r>
        <w:t>Le budget initial est présenté au conseil de surveillance en décembre.</w:t>
      </w:r>
    </w:p>
    <w:p>
      <w:pPr>
        <w:pStyle w:val="Heading2"/>
      </w:pPr>
      <w:r>
        <w:t>Hypothèses</w:t>
      </w:r>
    </w:p>
    <w:p>
      <w:r>
        <w:t>L'hypothèse d'inflation retenue pour la construction du budget est de deux virgule cinq pour cent (2,5 %).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Étape</w:t>
            </w:r>
          </w:p>
        </w:tc>
        <w:tc>
          <w:tcPr>
            <w:tcW w:type="dxa" w:w="4320"/>
          </w:tcPr>
          <w:p>
            <w:r>
              <w:t>Mois</w:t>
            </w:r>
          </w:p>
        </w:tc>
      </w:tr>
      <w:tr>
        <w:tc>
          <w:tcPr>
            <w:tcW w:type="dxa" w:w="4320"/>
          </w:tcPr>
          <w:p>
            <w:r>
              <w:t>Lettre de cadrage</w:t>
            </w:r>
          </w:p>
        </w:tc>
        <w:tc>
          <w:tcPr>
            <w:tcW w:type="dxa" w:w="4320"/>
          </w:tcPr>
          <w:p>
            <w:r>
              <w:t>Mai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