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39.3 Living Intelligence Runtime</w:t>
      </w:r>
    </w:p>
    <w:p>
      <w:pPr>
        <w:pStyle w:val="Heading2"/>
      </w:pPr>
      <w:r>
        <w:t>Runtime Engines</w:t>
      </w:r>
    </w:p>
    <w:p>
      <w:pPr>
        <w:pStyle w:val="ListBullet"/>
      </w:pPr>
      <w:r>
        <w:t>Information Physics Engine</w:t>
      </w:r>
    </w:p>
    <w:p>
      <w:pPr>
        <w:pStyle w:val="ListBullet"/>
      </w:pPr>
      <w:r>
        <w:t>Material Engine</w:t>
      </w:r>
    </w:p>
    <w:p>
      <w:pPr>
        <w:pStyle w:val="ListBullet"/>
      </w:pPr>
      <w:r>
        <w:t>Adaptive Lighting Engine</w:t>
      </w:r>
    </w:p>
    <w:p>
      <w:pPr>
        <w:pStyle w:val="ListBullet"/>
      </w:pPr>
      <w:r>
        <w:t>Platform Evidence Engine</w:t>
      </w:r>
    </w:p>
    <w:p>
      <w:pPr>
        <w:pStyle w:val="ListBullet"/>
      </w:pPr>
      <w:r>
        <w:t>Precision Metrology Engine</w:t>
      </w:r>
    </w:p>
    <w:p>
      <w:pPr>
        <w:pStyle w:val="ListBullet"/>
      </w:pPr>
      <w:r>
        <w:t>Founder Observatory</w:t>
      </w:r>
    </w:p>
    <w:p>
      <w:pPr>
        <w:pStyle w:val="ListBullet"/>
      </w:pPr>
      <w:r>
        <w:t>Floating Instrument Mesh</w:t>
      </w:r>
    </w:p>
    <w:p>
      <w:pPr>
        <w:pStyle w:val="ListBullet"/>
      </w:pPr>
      <w:r>
        <w:t>Experience Runtime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