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workflow and rainfall observations</w:t>
      </w:r>
    </w:p>
    <w:p>
      <w:r>
        <w:t>The workflow summarizes the complementary observational analyses. Table S10 reports how grid-days were distributed across the rainfall categories used in the conditional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81928" cy="3639530"/>
            <wp:docPr id="1" name="Picture 1" descr="Three parallel branches for rainfall associations, mapped burning contrasts, and supporting air-quality contex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Observational_Analysis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363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S1. Overview of the observational analysis workflow. Rainfall and MODIS records were used to examine antecedent rainfall associations during 2020–2025. Burned-area observations were compared within and outside mapped peatland in Central Kalimantan during August–November 2023. Published outdoor PM₂.₅ measurements and atmospheric reanalysis provided supporting air-quality context.</w:t>
      </w:r>
    </w:p>
    <w:p>
      <w:r>
        <w:br w:type="page"/>
      </w:r>
    </w:p>
    <w:p>
      <w:pPr>
        <w:pStyle w:val="Caption"/>
      </w:pPr>
      <w:r>
        <w:t>Table S10. Distribution of analytic grid-days and recorded vegetation-fire detection grid-days across preceding seven-day rainfall categories, 2020–2025.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635"/>
        <w:gridCol w:w="2491"/>
        <w:gridCol w:w="301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7E6E6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Preceding seven-day rainfall (mm)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Grid-days in the complete analytic panel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Grid-days in informative strata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Recorded detection grid-days in informative strata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0–10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136,716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9,974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1,498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&gt;10–30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272,585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9,244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758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&gt;30–60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500,096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11,413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499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&gt;60–100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460,728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8,023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214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&gt;100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324,291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4,629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type="dxa" w:w="2635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1,694,416</w:t>
            </w:r>
          </w:p>
        </w:tc>
        <w:tc>
          <w:tcPr>
            <w:tcW w:type="dxa" w:w="2491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43,283</w:t>
            </w:r>
          </w:p>
        </w:tc>
        <w:tc>
          <w:tcPr>
            <w:tcW w:type="dxa" w:w="3010"/>
            <w:vAlign w:val="center"/>
            <w:tcMar>
              <w:top w:w="100" w:type="dxa"/>
              <w:bottom w:w="100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3,059</w:t>
            </w:r>
          </w:p>
        </w:tc>
      </w:tr>
    </w:tbl>
    <w:p>
      <w:pPr>
        <w:spacing w:before="200"/>
      </w:pPr>
      <w:r>
        <w:t>Informative strata contained both detection and non-detection grid-days within the same grid cell and year-month. Counts describe the observations available to the analysis and should not be interpreted as population-wide fire probabilities.</w:t>
      </w:r>
    </w:p>
    <w:p>
      <w:r>
        <w:t>The binary outcome indicates at least one recorded MODIS detection classified as presumed vegetation fire (type = 0) on a grid-day. Seven-day rainfall covers D−7 to D−1. A grid-day with no recorded detection is not independently verified as a clear-sky, fire-free observation.</w:t>
      </w:r>
    </w:p>
    <w:sectPr w:rsidR="00FC693F" w:rsidRPr="0006063C" w:rsidSect="00034616">
      <w:pgSz w:w="11909" w:h="16834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workflow and rainfall observations</dc:title>
  <dc:subject>Figure S1 and Table S10 for the Kalimantan peatland study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