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6F6860"/>
          <w:sz w:val="15"/>
          <w:szCs w:val="15"/>
        </w:rPr>
        <w:t xml:space="preserve">CARGILL CONSULTING LLC  ·  LA MARQUE, TEXAS  ·  PROPOSAL DRAFT v0.1  ·  September 16,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01E1D"/>
          <w:sz w:val="40"/>
          <w:szCs w:val="40"/>
        </w:rPr>
        <w:t xml:space="preserve">Co-Managed IT Services for the City of La Marque</w:t>
      </w:r>
    </w:p>
    <w:p>
      <w:pPr>
        <w:spacing w:after="200" w:before="0"/>
      </w:pPr>
      <w:r>
        <w:rPr>
          <w:rFonts w:ascii="Arial" w:cs="Arial" w:eastAsia="Arial" w:hAnsi="Arial"/>
          <w:color w:val="6F6860"/>
          <w:sz w:val="22"/>
          <w:szCs w:val="22"/>
        </w:rPr>
        <w:t xml:space="preserve">Coverage for the Junior Systems Administrator and Network Security IT Specialist functions — one agreement, senior escalation included.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1E1D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201E1D"/>
          <w:sz w:val="20"/>
          <w:szCs w:val="20"/>
        </w:rPr>
        <w:t xml:space="preserve">City Manager and Information Technology, City of La Marque, 1111 Bayou Road [confirm], La Marque, TX 77568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01E1D"/>
          <w:sz w:val="20"/>
          <w:szCs w:val="20"/>
        </w:rPr>
        <w:t xml:space="preserve">Prepared by: </w:t>
      </w:r>
      <w:r>
        <w:rPr>
          <w:rFonts w:ascii="Arial" w:cs="Arial" w:eastAsia="Arial" w:hAnsi="Arial"/>
          <w:color w:val="201E1D"/>
          <w:sz w:val="20"/>
          <w:szCs w:val="20"/>
        </w:rPr>
        <w:t xml:space="preserve">Jeremiah Cargill, Senior Systems Engineer · Jesica Cargill, Managing Member · Cargill Consulting LLC (Texas, woman-owned; HUB certification in progress)</w:t>
      </w:r>
    </w:p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THE SITUATION</w:t>
      </w:r>
    </w:p>
    <w:p>
      <w:pPr>
        <w:spacing w:after="100" w:before="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The City has two open IT positions — Junior Systems Administrator and Network Security IT Specialist — each at $48,000, exempt, with after-hours duty, Tier I–III support, hybrid Entra ID, Microsoft 365, VMware/Omnissa, firewall administration and CJIS compliance in scope. In the Houston-area market those roles at that pay are hard to fill and harder to keep; an empty chair during an outage is the real cost. Cargill Consulting proposes a co-managed arrangement: the City's IT lead keeps ownership and direction, and our team provides the hands, the bench and the senior engineering judgment behind both job descriptions.</w:t>
      </w:r>
    </w:p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WHAT THE CITY 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Every duty in both postings, covered and documented.</w:t>
      </w:r>
      <w:r>
        <w:rPr>
          <w:rFonts w:ascii="Arial" w:cs="Arial" w:eastAsia="Arial" w:hAnsi="Arial"/>
          <w:color w:val="6F6860"/>
          <w:sz w:val="20"/>
          <w:szCs w:val="20"/>
        </w:rPr>
        <w:t xml:space="preserve">  Scope table on the next page maps each posted responsibility to a service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A senior systems engineer on every configuration, escalation and outage.</w:t>
      </w:r>
      <w:r>
        <w:rPr>
          <w:rFonts w:ascii="Arial" w:cs="Arial" w:eastAsia="Arial" w:hAnsi="Arial"/>
          <w:color w:val="6F6860"/>
          <w:sz w:val="20"/>
          <w:szCs w:val="20"/>
        </w:rPr>
        <w:t xml:space="preserve">  [__] years across identity, virtualization and infrastructure at an enterprise insurer; reviews every change before it reaches a City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On-site technicians at City Hall on a fixed schedule, remote coverage in between.</w:t>
      </w:r>
      <w:r>
        <w:rPr>
          <w:rFonts w:ascii="Arial" w:cs="Arial" w:eastAsia="Arial" w:hAnsi="Arial"/>
          <w:color w:val="6F6860"/>
          <w:sz w:val="20"/>
          <w:szCs w:val="20"/>
        </w:rPr>
        <w:t xml:space="preserve">  Certified (CompTIA Security+, Microsoft SC-300, Network+) and CJIS-cleared before day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Continuity that a single hire cannot offer.</w:t>
      </w:r>
      <w:r>
        <w:rPr>
          <w:rFonts w:ascii="Arial" w:cs="Arial" w:eastAsia="Arial" w:hAnsi="Arial"/>
          <w:color w:val="6F6860"/>
          <w:sz w:val="20"/>
          <w:szCs w:val="20"/>
        </w:rPr>
        <w:t xml:space="preserve">  Coverage does not depend on one person's vacation, resignation or sick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Documentation as a deliverable, not an afterthought.</w:t>
      </w:r>
      <w:r>
        <w:rPr>
          <w:rFonts w:ascii="Arial" w:cs="Arial" w:eastAsia="Arial" w:hAnsi="Arial"/>
          <w:color w:val="6F6860"/>
          <w:sz w:val="20"/>
          <w:szCs w:val="20"/>
        </w:rPr>
        <w:t xml:space="preserve">  Network diagrams, system inventory, SOPs and a runbook the City owns outright if the agreement ends.</w:t>
      </w:r>
    </w:p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THE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rPr>
          <w:tblHeader/>
        </w:trPr>
        <w:tc>
          <w:tcPr>
            <w:tcW w:type="dxa" w:w="34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Option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Salary / fee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Loaded annual cost</w:t>
            </w:r>
          </w:p>
        </w:tc>
        <w:tc>
          <w:tcPr>
            <w:tcW w:type="dxa" w:w="20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Two funded FTEs (posted)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$96,000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~$130,000–140,000</w:t>
            </w:r>
          </w:p>
        </w:tc>
        <w:tc>
          <w:tcPr>
            <w:tcW w:type="dxa" w:w="20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F6860"/>
                <w:sz w:val="18"/>
                <w:szCs w:val="18"/>
              </w:rPr>
              <w:t xml:space="preserve">Recruiting time; single-point-of-failure; turnover risk</w:t>
            </w:r>
          </w:p>
        </w:tc>
      </w:tr>
      <w:tr>
        <w:tc>
          <w:tcPr>
            <w:tcW w:type="dxa" w:w="34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Co-managed agreement (full scope)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$96,000–114,000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$96,000–114,000</w:t>
            </w:r>
          </w:p>
        </w:tc>
        <w:tc>
          <w:tcPr>
            <w:tcW w:type="dxa" w:w="20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F6860"/>
                <w:sz w:val="18"/>
                <w:szCs w:val="18"/>
              </w:rPr>
              <w:t xml:space="preserve">$8,000–$9,500 / month; senior escalation and documentation included</w:t>
            </w:r>
          </w:p>
        </w:tc>
      </w:tr>
      <w:tr>
        <w:tc>
          <w:tcPr>
            <w:tcW w:type="dxa" w:w="34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Pilot (one role's scope, 6 months)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$24,000–27,000</w:t>
            </w:r>
          </w:p>
        </w:tc>
        <w:tc>
          <w:tcPr>
            <w:tcW w:type="dxa" w:w="198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$24,000–27,000</w:t>
            </w:r>
          </w:p>
        </w:tc>
        <w:tc>
          <w:tcPr>
            <w:tcW w:type="dxa" w:w="20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F6860"/>
                <w:sz w:val="18"/>
                <w:szCs w:val="18"/>
              </w:rPr>
              <w:t xml:space="preserve">$4,000–$4,500 / month; under the $50,000 competitive threshold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F6860"/>
          <w:sz w:val="17"/>
          <w:szCs w:val="17"/>
        </w:rPr>
        <w:t xml:space="preserve">Loaded cost estimate adds TMRS retirement, health benefits, payroll tax and equipment to posted salary; the City's finance office will have the exact figure. Fees are inclusive of on-site time, remote support, after-hours on-call and documentation; hardware, licensing and third-party subscriptions are pass-through at cost.</w:t>
      </w:r>
    </w:p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SCOPE: POSTED DUTIES MAPPED TO SERVICE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rPr>
          <w:tblHeader/>
        </w:trP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Service line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Covers (from both postings)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shd w:fill="EF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F6860"/>
                <w:sz w:val="16"/>
                <w:szCs w:val="16"/>
              </w:rPr>
              <w:t xml:space="preserve">Service level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Systems administration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Servers, virtual environment (VMware/Omnissa), AD and hybrid Entra ID, group policy, patching, monitoring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Monthly patch cycle; identity changes same business day; monitoring with alerting to on-call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Backup &amp; recovery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Backup jobs, restore tests, DR support to the City's 48-hour target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Quarterly restore test with report; annual DR tabletop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Endpoint &amp; applications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Imaging, deployment, M365 and line-of-business apps, mobile devices, lifecycle inventory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Standard image maintained; asset inventory current within 30 days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Network &amp; security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Switches, routers, firewalls, wireless; MFA, endpoint protection, Defender, vulnerability remediation, secure configurations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Critical patches within 14 days; quarterly configuration review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Helpdesk Tier I–III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Tickets, hardware/software/access issues, printers and peripherals, user training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Response 1 business hour; resolution targets by priority; on-site days fixed weekly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Compliance &amp; documentation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CJIS-related controls, policies and SOPs, network and system documentation, procurement and budget support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CJIS Security Addendum executed; documentation delivered quarterly</w:t>
            </w:r>
          </w:p>
        </w:tc>
      </w:tr>
      <w:tr>
        <w:tc>
          <w:tcPr>
            <w:tcW w:type="dxa" w:w="25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After-hours &amp; emergencies</w:t>
            </w:r>
          </w:p>
        </w:tc>
        <w:tc>
          <w:tcPr>
            <w:tcW w:type="dxa" w:w="35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Maintenance windows, outages, continuity during emergencies</w:t>
            </w:r>
          </w:p>
        </w:tc>
        <w:tc>
          <w:tcPr>
            <w:tcW w:type="dxa" w:w="33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On-call rotation; 30-minute callback for outages</w:t>
            </w:r>
          </w:p>
        </w:tc>
      </w:tr>
    </w:tbl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HOW IT WOULD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Governance: the City's IT lead directs priorities; a monthly review covers tickets, changes, risks and the documentation delivered.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People: named technicians on a fixed on-site schedule; senior engineer as escalation and change reviewer; all staff fingerprinted and CJIS Security Awareness trained before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Access and separation: City-owned accounts, least privilege, all administrative actions logged; no City data on non-City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Procurement: pilot awarded on quotes under Local Government Code §252 thresholds; full agreement via RFP or a cooperative contract at the City's preference.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1E1D"/>
          <w:sz w:val="20"/>
          <w:szCs w:val="20"/>
        </w:rPr>
        <w:t xml:space="preserve">Exit: 60-day notice either side; every credential, diagram and document is the City's on day one and stays so.</w:t>
      </w:r>
    </w:p>
    <w:p>
      <w:pPr>
        <w:pBdr>
          <w:bottom w:val="single" w:color="201E1D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6F6860"/>
          <w:sz w:val="17"/>
          <w:szCs w:val="17"/>
        </w:rPr>
        <w:t xml:space="preserve">PROPOSED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October 2026</w:t>
            </w:r>
          </w:p>
        </w:tc>
        <w:tc>
          <w:tcPr>
            <w:tcW w:type="dxa" w:w="71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Introductory meeting; walkthrough of current environment; scope confirmation</w:t>
            </w:r>
          </w:p>
        </w:tc>
      </w:tr>
      <w:tr>
        <w:tc>
          <w:tcPr>
            <w:tcW w:type="dxa" w:w="22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November 2026</w:t>
            </w:r>
          </w:p>
        </w:tc>
        <w:tc>
          <w:tcPr>
            <w:tcW w:type="dxa" w:w="71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If either position remains vacant: pilot scope and quote submitted; CJIS clearances initiated</w:t>
            </w:r>
          </w:p>
        </w:tc>
      </w:tr>
      <w:tr>
        <w:tc>
          <w:tcPr>
            <w:tcW w:type="dxa" w:w="22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January 2027</w:t>
            </w:r>
          </w:p>
        </w:tc>
        <w:tc>
          <w:tcPr>
            <w:tcW w:type="dxa" w:w="71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Pilot start (six months); documentation baseline delivered in month one</w:t>
            </w:r>
          </w:p>
        </w:tc>
      </w:tr>
      <w:tr>
        <w:tc>
          <w:tcPr>
            <w:tcW w:type="dxa" w:w="220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Spring 2027</w:t>
            </w:r>
          </w:p>
        </w:tc>
        <w:tc>
          <w:tcPr>
            <w:tcW w:type="dxa" w:w="7160"/>
            <w:tcBorders>
              <w:top w:val="single" w:color="D8D1C6" w:sz="4"/>
              <w:left w:val="single" w:color="D8D1C6" w:sz="4"/>
              <w:bottom w:val="single" w:color="D8D1C6" w:sz="4"/>
              <w:right w:val="single" w:color="D8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01E1D"/>
                <w:sz w:val="18"/>
                <w:szCs w:val="18"/>
              </w:rPr>
              <w:t xml:space="preserve">Pilot review; full co-managed agreement proposed for the FY2028 budget cycle</w:t>
            </w:r>
          </w:p>
        </w:tc>
      </w:tr>
    </w:tbl>
    <w:p>
      <w:pPr>
        <w:spacing w:after="40" w:before="240"/>
      </w:pPr>
      <w:r>
        <w:rPr>
          <w:rFonts w:ascii="Arial" w:cs="Arial" w:eastAsia="Arial" w:hAnsi="Arial"/>
          <w:color w:val="6F6860"/>
          <w:sz w:val="18"/>
          <w:szCs w:val="18"/>
        </w:rPr>
        <w:t xml:space="preserve">Contact: Jeremiah Cargill · [phone] · [email] · Cargill Consulting LLC, La Marque, TX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F6860"/>
          <w:sz w:val="15"/>
          <w:szCs w:val="15"/>
        </w:rPr>
        <w:t xml:space="preserve">Draft for discussion. Pricing and service levels are proposals to be finalized in a statement of work; nothing here is a binding offer. Cargill Consulting LLC is in formation with a January 2027 effective date.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E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2026-09-16T13:05:52.831Z</dcterms:created>
  <dcterms:modified xsi:type="dcterms:W3CDTF">2026-09-16T13:05:52.831Z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