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 w:eastAsia="Aptos Display"/>
          <w:b/>
          <w:color w:val="1F3864"/>
          <w:sz w:val="44"/>
        </w:rPr>
        <w:t>VLAN &amp; IP Subnet Scoping Framework</w:t>
      </w:r>
    </w:p>
    <w:p>
      <w:pPr>
        <w:spacing w:after="200"/>
        <w:jc w:val="left"/>
      </w:pPr>
      <w:r>
        <w:rPr>
          <w:rFonts w:ascii="Aptos" w:hAnsi="Aptos" w:eastAsia="Aptos"/>
          <w:i/>
          <w:color w:val="606060"/>
          <w:sz w:val="22"/>
        </w:rPr>
        <w:t>A practical one-page guide for building clean, scalable network segmentation in a home lab or production-style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93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3864"/>
                <w:sz w:val="21"/>
              </w:rPr>
              <w:t xml:space="preserve">Core mentality: </w:t>
            </w:r>
            <w:r>
              <w:rPr>
                <w:sz w:val="21"/>
              </w:rPr>
              <w:t>treat VLANs and subnets as boundaries for function, security, and troubleshooting — not just as IP ranges.</w:t>
            </w:r>
          </w:p>
        </w:tc>
      </w:tr>
    </w:tbl>
    <w:p>
      <w:pPr>
        <w:spacing w:after="20"/>
      </w:pPr>
    </w:p>
    <w:p>
      <w:pPr>
        <w:pStyle w:val="HandoutHeading"/>
      </w:pPr>
      <w:r>
        <w:t>1. Start with purpose</w:t>
      </w:r>
    </w:p>
    <w:p>
      <w:pPr>
        <w:spacing w:after="60"/>
      </w:pPr>
      <w:r>
        <w:rPr>
          <w:b w:val="0"/>
        </w:rPr>
        <w:t xml:space="preserve">Create segments based on </w:t>
      </w:r>
      <w:r>
        <w:rPr>
          <w:b/>
        </w:rPr>
        <w:t>what the network needs to support</w:t>
      </w:r>
      <w:r>
        <w:t xml:space="preserve">, such as management, servers, users, IoT, cameras, guest wireless, storage, or test/lab networks. </w:t>
      </w:r>
      <w:r>
        <w:rPr>
          <w:b/>
        </w:rPr>
        <w:t>If two groups require different trust levels or different firewall policy, they usually belong in different VLANs.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4608"/>
      </w:tblGrid>
      <w:tr>
        <w:tc>
          <w:tcPr>
            <w:tcW w:type="dxa" w:w="4968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  <w:ind w:left="40"/>
            </w:pPr>
            <w:r>
              <w:rPr>
                <w:sz w:val="20"/>
              </w:rPr>
              <w:t>• Management</w:t>
            </w:r>
          </w:p>
          <w:p>
            <w:pPr>
              <w:spacing w:before="0" w:after="0"/>
              <w:ind w:left="40"/>
            </w:pPr>
            <w:r>
              <w:rPr>
                <w:sz w:val="20"/>
              </w:rPr>
              <w:t>• Servers / services</w:t>
            </w:r>
          </w:p>
          <w:p>
            <w:pPr>
              <w:spacing w:before="0" w:after="0"/>
              <w:ind w:left="40"/>
            </w:pPr>
            <w:r>
              <w:rPr>
                <w:sz w:val="20"/>
              </w:rPr>
              <w:t>• User devices</w:t>
            </w:r>
          </w:p>
          <w:p>
            <w:pPr>
              <w:spacing w:before="0" w:after="0"/>
              <w:ind w:left="40"/>
            </w:pPr>
            <w:r>
              <w:rPr>
                <w:sz w:val="20"/>
              </w:rPr>
              <w:t>• Storage / backup</w:t>
            </w:r>
          </w:p>
        </w:tc>
        <w:tc>
          <w:tcPr>
            <w:tcW w:type="dxa" w:w="4968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  <w:ind w:left="40"/>
            </w:pPr>
            <w:r>
              <w:rPr>
                <w:sz w:val="20"/>
              </w:rPr>
              <w:t>• IoT / smart devices</w:t>
            </w:r>
          </w:p>
          <w:p>
            <w:pPr>
              <w:spacing w:before="0" w:after="0"/>
              <w:ind w:left="40"/>
            </w:pPr>
            <w:r>
              <w:rPr>
                <w:sz w:val="20"/>
              </w:rPr>
              <w:t>• Cameras / access control</w:t>
            </w:r>
          </w:p>
          <w:p>
            <w:pPr>
              <w:spacing w:before="0" w:after="0"/>
              <w:ind w:left="40"/>
            </w:pPr>
            <w:r>
              <w:rPr>
                <w:sz w:val="20"/>
              </w:rPr>
              <w:t>• Guest wireless</w:t>
            </w:r>
          </w:p>
          <w:p>
            <w:pPr>
              <w:spacing w:before="0" w:after="0"/>
              <w:ind w:left="40"/>
            </w:pPr>
            <w:r>
              <w:rPr>
                <w:sz w:val="20"/>
              </w:rPr>
              <w:t>• Lab / testing / DMZ</w:t>
            </w:r>
          </w:p>
        </w:tc>
      </w:tr>
    </w:tbl>
    <w:p>
      <w:pPr>
        <w:pStyle w:val="HandoutHeading"/>
      </w:pPr>
      <w:r>
        <w:t>2. Keep the design predictable</w:t>
      </w:r>
    </w:p>
    <w:p>
      <w:pPr>
        <w:spacing w:after="60"/>
      </w:pPr>
      <w:r>
        <w:rPr>
          <w:b w:val="0"/>
        </w:rPr>
        <w:t xml:space="preserve">Use a consistent mapping between </w:t>
      </w:r>
      <w:r>
        <w:rPr>
          <w:b/>
        </w:rPr>
        <w:t>function, VLAN ID, and subnet</w:t>
      </w:r>
      <w:r>
        <w:t xml:space="preserve"> so the design is easy to read at a glance.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4320"/>
      </w:tblGrid>
      <w:tr>
        <w:tc>
          <w:tcPr>
            <w:tcW w:type="dxa" w:w="3312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VLAN</w:t>
            </w:r>
          </w:p>
        </w:tc>
        <w:tc>
          <w:tcPr>
            <w:tcW w:type="dxa" w:w="3312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Function</w:t>
            </w:r>
          </w:p>
        </w:tc>
        <w:tc>
          <w:tcPr>
            <w:tcW w:type="dxa" w:w="3312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Example subnet (Site 1)</w:t>
            </w:r>
          </w:p>
        </w:tc>
      </w:tr>
      <w:tr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20"/>
              </w:rPr>
              <w:t>Management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10.10.10.0/24</w:t>
            </w:r>
          </w:p>
        </w:tc>
      </w:tr>
      <w:tr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20"/>
              </w:rPr>
              <w:t>Servers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10.10.20.0/24</w:t>
            </w:r>
          </w:p>
        </w:tc>
      </w:tr>
      <w:tr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10.10.30.0/24</w:t>
            </w:r>
          </w:p>
        </w:tc>
      </w:tr>
      <w:tr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20"/>
              </w:rPr>
              <w:t>IoT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10.10.40.0/24</w:t>
            </w:r>
          </w:p>
        </w:tc>
      </w:tr>
      <w:tr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20"/>
              </w:rPr>
              <w:t>Guest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0"/>
              </w:rPr>
              <w:t>10.10.50.0/24</w:t>
            </w:r>
          </w:p>
        </w:tc>
      </w:tr>
    </w:tbl>
    <w:p>
      <w:pPr>
        <w:pStyle w:val="HandoutHeading"/>
      </w:pPr>
      <w:r>
        <w:t>3. Scale by site, not by reinventing the design</w:t>
      </w:r>
    </w:p>
    <w:p>
      <w:pPr>
        <w:spacing w:after="60"/>
      </w:pPr>
      <w:r>
        <w:rPr>
          <w:b/>
        </w:rPr>
        <w:t>Keep the same VLAN numbers for the same functions across every site and change only the site portion of the address.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2592"/>
        <w:gridCol w:w="2592"/>
      </w:tblGrid>
      <w:tr>
        <w:tc>
          <w:tcPr>
            <w:tcW w:type="dxa" w:w="2484"/>
            <w:shd w:fill="DCE6F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VLAN / Function</w:t>
            </w:r>
          </w:p>
        </w:tc>
        <w:tc>
          <w:tcPr>
            <w:tcW w:type="dxa" w:w="2484"/>
            <w:shd w:fill="DCE6F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Site 1</w:t>
            </w:r>
          </w:p>
        </w:tc>
        <w:tc>
          <w:tcPr>
            <w:tcW w:type="dxa" w:w="2484"/>
            <w:shd w:fill="DCE6F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Site 2</w:t>
            </w:r>
          </w:p>
        </w:tc>
        <w:tc>
          <w:tcPr>
            <w:tcW w:type="dxa" w:w="2484"/>
            <w:shd w:fill="DCE6F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Site 3</w:t>
            </w:r>
          </w:p>
        </w:tc>
      </w:tr>
      <w:tr>
        <w:tc>
          <w:tcPr>
            <w:tcW w:type="dxa" w:w="172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19"/>
              </w:rPr>
              <w:t>10 / Mgmt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10.10.10.0/24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10.20.10.0/24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10.30.10.0/24</w:t>
            </w:r>
          </w:p>
        </w:tc>
      </w:tr>
      <w:tr>
        <w:tc>
          <w:tcPr>
            <w:tcW w:type="dxa" w:w="172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19"/>
              </w:rPr>
              <w:t>20 / Servers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10.10.20.0/24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10.20.20.0/24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10.30.20.0/24</w:t>
            </w:r>
          </w:p>
        </w:tc>
      </w:tr>
      <w:tr>
        <w:tc>
          <w:tcPr>
            <w:tcW w:type="dxa" w:w="172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19"/>
              </w:rPr>
              <w:t>30 / Users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10.10.30.0/24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10.20.30.0/24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10.30.30.0/24</w:t>
            </w:r>
          </w:p>
        </w:tc>
      </w:tr>
      <w:tr>
        <w:tc>
          <w:tcPr>
            <w:tcW w:type="dxa" w:w="172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19"/>
              </w:rPr>
              <w:t>40 / IoT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10.10.40.0/24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10.20.40.0/24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10.30.40.0/24</w:t>
            </w:r>
          </w:p>
        </w:tc>
      </w:tr>
      <w:tr>
        <w:tc>
          <w:tcPr>
            <w:tcW w:type="dxa" w:w="1728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>
              <w:rPr>
                <w:sz w:val="19"/>
              </w:rPr>
              <w:t>50 / Guest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10.10.50.0/24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10.20.50.0/24</w:t>
            </w:r>
          </w:p>
        </w:tc>
        <w:tc>
          <w:tcPr>
            <w:tcW w:type="dxa" w:w="25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19"/>
              </w:rPr>
              <w:t>10.30.50.0/24</w:t>
            </w:r>
          </w:p>
        </w:tc>
      </w:tr>
    </w:tbl>
    <w:p>
      <w:pPr>
        <w:pStyle w:val="HandoutHeading"/>
      </w:pPr>
      <w:r>
        <w:t>4. Build policy and growth into the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4608"/>
      </w:tblGrid>
      <w:tr>
        <w:tc>
          <w:tcPr>
            <w:tcW w:type="dxa" w:w="4968"/>
            <w:shd w:fill="FBFB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b/>
                <w:color w:val="2F5496"/>
                <w:sz w:val="21"/>
              </w:rPr>
              <w:t>Firewall mindset</w:t>
            </w:r>
          </w:p>
          <w:p>
            <w:pPr>
              <w:spacing w:after="0"/>
            </w:pPr>
            <w:r>
              <w:rPr>
                <w:sz w:val="19"/>
              </w:rPr>
              <w:t>• Default deny between VLANs unless there is a reason to allow it</w:t>
            </w:r>
          </w:p>
          <w:p>
            <w:pPr>
              <w:spacing w:after="0"/>
            </w:pPr>
            <w:r>
              <w:rPr>
                <w:sz w:val="19"/>
              </w:rPr>
              <w:t>• Management should reach infrastructure intentionally</w:t>
            </w:r>
          </w:p>
          <w:p>
            <w:pPr>
              <w:spacing w:after="0"/>
            </w:pPr>
            <w:r>
              <w:rPr>
                <w:sz w:val="19"/>
              </w:rPr>
              <w:t>• Guest and IoT should be heavily restricted</w:t>
            </w:r>
          </w:p>
          <w:p>
            <w:pPr>
              <w:spacing w:after="0"/>
            </w:pPr>
            <w:r>
              <w:rPr>
                <w:sz w:val="19"/>
              </w:rPr>
              <w:t>• Document the reason for every allow rule</w:t>
            </w:r>
          </w:p>
        </w:tc>
        <w:tc>
          <w:tcPr>
            <w:tcW w:type="dxa" w:w="4968"/>
            <w:shd w:fill="FBFB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b/>
                <w:color w:val="2F5496"/>
                <w:sz w:val="21"/>
              </w:rPr>
              <w:t>Design habits that scale</w:t>
            </w:r>
          </w:p>
          <w:p>
            <w:pPr>
              <w:spacing w:after="0"/>
            </w:pPr>
            <w:r>
              <w:rPr>
                <w:sz w:val="19"/>
              </w:rPr>
              <w:t>• Name VLANs by function, not temporary project names</w:t>
            </w:r>
          </w:p>
          <w:p>
            <w:pPr>
              <w:spacing w:after="0"/>
            </w:pPr>
            <w:r>
              <w:rPr>
                <w:sz w:val="19"/>
              </w:rPr>
              <w:t>• Reserve extra space for future segments</w:t>
            </w:r>
          </w:p>
          <w:p>
            <w:pPr>
              <w:spacing w:after="0"/>
            </w:pPr>
            <w:r>
              <w:rPr>
                <w:sz w:val="19"/>
              </w:rPr>
              <w:t>• Keep gateways and DHCP ranges consistent</w:t>
            </w:r>
          </w:p>
          <w:p>
            <w:pPr>
              <w:spacing w:after="0"/>
            </w:pPr>
            <w:r>
              <w:rPr>
                <w:sz w:val="19"/>
              </w:rPr>
              <w:t>• Make the scheme simple enough that another engineer can guess it</w:t>
            </w:r>
          </w:p>
        </w:tc>
      </w:tr>
    </w:tbl>
    <w:p/>
    <w:p>
      <w:pPr>
        <w:jc w:val="center"/>
      </w:pPr>
      <w:r>
        <w:rPr>
          <w:b/>
          <w:color w:val="1F3864"/>
          <w:sz w:val="21"/>
        </w:rPr>
        <w:t>Bottom line: a mature VLAN/subnet design is obvious, predictable, secure, and easy to troubleshoot.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060"/>
        <w:sz w:val="16"/>
      </w:rPr>
      <w:t>VLAN &amp; IP Subnet Scoping Framework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6060"/>
        <w:sz w:val="16"/>
      </w:rPr>
      <w:t>Professional Networking 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Heading">
    <w:name w:val="Handout Heading"/>
    <w:basedOn w:val="Heading1"/>
    <w:pPr>
      <w:spacing w:before="160" w:after="100" w:line="252" w:lineRule="auto"/>
    </w:pPr>
    <w:rPr>
      <w:rFonts w:ascii="Aptos" w:hAnsi="Aptos" w:eastAsia="Aptos"/>
      <w:b/>
      <w:color w:val="1F3864"/>
      <w:sz w:val="30"/>
    </w:rPr>
  </w:style>
  <w:style w:type="paragraph" w:customStyle="1" w:styleId="HandoutSubheading">
    <w:name w:val="Handout Subheading"/>
    <w:basedOn w:val="Heading2"/>
    <w:pPr>
      <w:spacing w:before="160" w:after="100" w:line="252" w:lineRule="auto"/>
    </w:pPr>
    <w:rPr>
      <w:rFonts w:ascii="Aptos" w:hAnsi="Aptos" w:eastAsia="Aptos"/>
      <w:b/>
      <w:color w:val="2F549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