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B0"/>
          <w:sz w:val="48"/>
        </w:rPr>
        <w:t>TEXAS VENOM</w:t>
      </w:r>
    </w:p>
    <w:p>
      <w:pPr>
        <w:jc w:val="center"/>
      </w:pPr>
      <w:r>
        <w:rPr>
          <w:b/>
          <w:color w:val="1C1C1C"/>
          <w:sz w:val="36"/>
        </w:rPr>
        <w:t>Board Welcome Packet</w:t>
      </w:r>
    </w:p>
    <w:p>
      <w:pPr>
        <w:jc w:val="center"/>
      </w:pPr>
      <w:r>
        <w:rPr>
          <w:i/>
          <w:color w:val="5A5A5A"/>
          <w:sz w:val="20"/>
        </w:rPr>
        <w:t>Governance overview, role clarity, and operating expectations</w:t>
      </w:r>
    </w:p>
    <w:p/>
    <w:p>
      <w:pPr>
        <w:pStyle w:val="Heading2"/>
        <w:spacing w:before="200" w:after="80"/>
      </w:pPr>
      <w:r>
        <w:t>Welcome to the Texas Venom Board</w:t>
      </w:r>
    </w:p>
    <w:p>
      <w:r>
        <w:t>Texas Venom is structured to protect the softball experience by separating organization operations from coaching decisions. The Board provides steady governance, parent representation, transparency, and accountability while the coaching staff owns player development, lineups, rotations, and game strategy.</w:t>
      </w:r>
    </w:p>
    <w:p>
      <w:pPr>
        <w:pStyle w:val="Heading2"/>
        <w:spacing w:before="200" w:after="80"/>
      </w:pPr>
      <w:r>
        <w:t>Operating Philosophy</w:t>
      </w:r>
    </w:p>
    <w:p>
      <w:pPr>
        <w:pStyle w:val="ListBullet"/>
        <w:spacing w:after="40"/>
      </w:pPr>
      <w:r>
        <w:t>Coaches coach: field decisions stay with the head coach and staff.</w:t>
      </w:r>
    </w:p>
    <w:p>
      <w:pPr>
        <w:pStyle w:val="ListBullet"/>
        <w:spacing w:after="40"/>
      </w:pPr>
      <w:r>
        <w:t>Directors run the organization: finances, scheduling, sponsorships, communications, and documents are handled through formal operations.</w:t>
      </w:r>
    </w:p>
    <w:p>
      <w:pPr>
        <w:pStyle w:val="ListBullet"/>
        <w:spacing w:after="40"/>
      </w:pPr>
      <w:r>
        <w:t>Players develop: every decision should support long-term confidence, skill growth, competitive reps, and love of the game.</w:t>
      </w:r>
    </w:p>
    <w:p>
      <w:pPr>
        <w:pStyle w:val="ListBullet"/>
        <w:spacing w:after="40"/>
      </w:pPr>
      <w:r>
        <w:t>Parents are heard through structured channels instead of sideline pressure or informal back-channel decisions.</w:t>
      </w:r>
    </w:p>
    <w:p>
      <w:pPr>
        <w:pStyle w:val="Heading2"/>
        <w:spacing w:before="200" w:after="80"/>
      </w:pPr>
      <w:r>
        <w:t>Board Purpose</w:t>
      </w:r>
    </w:p>
    <w:p>
      <w:pPr>
        <w:pStyle w:val="ListBullet"/>
        <w:spacing w:after="40"/>
      </w:pPr>
      <w:r>
        <w:t>Maintain bylaws, voting rules, and documented governance standards.</w:t>
      </w:r>
    </w:p>
    <w:p>
      <w:pPr>
        <w:pStyle w:val="ListBullet"/>
        <w:spacing w:after="40"/>
      </w:pPr>
      <w:r>
        <w:t>Review major financial commitments, sponsorship use, and seasonal budgets.</w:t>
      </w:r>
    </w:p>
    <w:p>
      <w:pPr>
        <w:pStyle w:val="ListBullet"/>
        <w:spacing w:after="40"/>
      </w:pPr>
      <w:r>
        <w:t>Support conflict resolution through a calm, documented process.</w:t>
      </w:r>
    </w:p>
    <w:p>
      <w:pPr>
        <w:pStyle w:val="ListBullet"/>
        <w:spacing w:after="40"/>
      </w:pPr>
      <w:r>
        <w:t>Protect the Texas Venom brand, culture, and family-first standard.</w:t>
      </w:r>
    </w:p>
    <w:p>
      <w:pPr>
        <w:pStyle w:val="ListBullet"/>
        <w:spacing w:after="40"/>
      </w:pPr>
      <w:r>
        <w:t>Create continuity so the program is not dependent on one coach, one parent, or one volunteer.</w:t>
      </w:r>
    </w:p>
    <w:p>
      <w:pPr>
        <w:pStyle w:val="Heading2"/>
        <w:spacing w:before="200" w:after="80"/>
      </w:pPr>
      <w:r>
        <w:t>Board Seat Expectations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E8F0FB"/>
          </w:tcPr>
          <w:p>
            <w:r/>
            <w:r>
              <w:rPr>
                <w:rFonts w:ascii="Aptos" w:hAnsi="Aptos"/>
                <w:b/>
                <w:sz w:val="20"/>
              </w:rPr>
              <w:t>Governance</w:t>
            </w:r>
          </w:p>
        </w:tc>
        <w:tc>
          <w:tcPr>
            <w:tcW w:type="dxa" w:w="6912"/>
            <w:vAlign w:val="center"/>
          </w:tcPr>
          <w:p>
            <w:r/>
            <w:r>
              <w:rPr>
                <w:rFonts w:ascii="Aptos" w:hAnsi="Aptos"/>
                <w:b w:val="0"/>
                <w:sz w:val="20"/>
              </w:rPr>
              <w:t>Attend scheduled board discussions, vote when required, and support documented decisions.</w:t>
            </w:r>
          </w:p>
        </w:tc>
      </w:tr>
      <w:tr>
        <w:tc>
          <w:tcPr>
            <w:tcW w:type="dxa" w:w="3024"/>
            <w:vAlign w:val="center"/>
            <w:shd w:fill="E8F0FB"/>
          </w:tcPr>
          <w:p>
            <w:r/>
            <w:r>
              <w:rPr>
                <w:rFonts w:ascii="Aptos" w:hAnsi="Aptos"/>
                <w:b/>
                <w:sz w:val="20"/>
              </w:rPr>
              <w:t>Confidentiality</w:t>
            </w:r>
          </w:p>
        </w:tc>
        <w:tc>
          <w:tcPr>
            <w:tcW w:type="dxa" w:w="6912"/>
            <w:vAlign w:val="center"/>
          </w:tcPr>
          <w:p>
            <w:r/>
            <w:r>
              <w:rPr>
                <w:rFonts w:ascii="Aptos" w:hAnsi="Aptos"/>
                <w:b w:val="0"/>
                <w:sz w:val="20"/>
              </w:rPr>
              <w:t>Respect private family, player, financial, and coach-related information.</w:t>
            </w:r>
          </w:p>
        </w:tc>
      </w:tr>
      <w:tr>
        <w:tc>
          <w:tcPr>
            <w:tcW w:type="dxa" w:w="3024"/>
            <w:vAlign w:val="center"/>
            <w:shd w:fill="E8F0FB"/>
          </w:tcPr>
          <w:p>
            <w:r/>
            <w:r>
              <w:rPr>
                <w:rFonts w:ascii="Aptos" w:hAnsi="Aptos"/>
                <w:b/>
                <w:sz w:val="20"/>
              </w:rPr>
              <w:t>Neutrality</w:t>
            </w:r>
          </w:p>
        </w:tc>
        <w:tc>
          <w:tcPr>
            <w:tcW w:type="dxa" w:w="6912"/>
            <w:vAlign w:val="center"/>
          </w:tcPr>
          <w:p>
            <w:r/>
            <w:r>
              <w:rPr>
                <w:rFonts w:ascii="Aptos" w:hAnsi="Aptos"/>
                <w:b w:val="0"/>
                <w:sz w:val="20"/>
              </w:rPr>
              <w:t>Represent the health of the whole organization, not only one player or family.</w:t>
            </w:r>
          </w:p>
        </w:tc>
      </w:tr>
      <w:tr>
        <w:tc>
          <w:tcPr>
            <w:tcW w:type="dxa" w:w="3024"/>
            <w:vAlign w:val="center"/>
            <w:shd w:fill="E8F0FB"/>
          </w:tcPr>
          <w:p>
            <w:r/>
            <w:r>
              <w:rPr>
                <w:rFonts w:ascii="Aptos" w:hAnsi="Aptos"/>
                <w:b/>
                <w:sz w:val="20"/>
              </w:rPr>
              <w:t>Follow-through</w:t>
            </w:r>
          </w:p>
        </w:tc>
        <w:tc>
          <w:tcPr>
            <w:tcW w:type="dxa" w:w="6912"/>
            <w:vAlign w:val="center"/>
          </w:tcPr>
          <w:p>
            <w:r/>
            <w:r>
              <w:rPr>
                <w:rFonts w:ascii="Aptos" w:hAnsi="Aptos"/>
                <w:b w:val="0"/>
                <w:sz w:val="20"/>
              </w:rPr>
              <w:t>Own assigned tasks and communicate status clearly.</w:t>
            </w:r>
          </w:p>
        </w:tc>
      </w:tr>
    </w:tbl>
    <w:p>
      <w:pPr>
        <w:pStyle w:val="Heading2"/>
        <w:spacing w:before="200" w:after="80"/>
      </w:pPr>
      <w:r>
        <w:t>First 30 Days</w:t>
      </w:r>
    </w:p>
    <w:p>
      <w:pPr>
        <w:pStyle w:val="ListBullet"/>
        <w:spacing w:after="40"/>
      </w:pPr>
      <w:r>
        <w:t>Review bylaws and voting structure.</w:t>
      </w:r>
    </w:p>
    <w:p>
      <w:pPr>
        <w:pStyle w:val="ListBullet"/>
        <w:spacing w:after="40"/>
      </w:pPr>
      <w:r>
        <w:t>Review current season budget and known financial obligations.</w:t>
      </w:r>
    </w:p>
    <w:p>
      <w:pPr>
        <w:pStyle w:val="ListBullet"/>
        <w:spacing w:after="40"/>
      </w:pPr>
      <w:r>
        <w:t>Confirm communication channels and escalation process.</w:t>
      </w:r>
    </w:p>
    <w:p>
      <w:pPr>
        <w:pStyle w:val="ListBullet"/>
        <w:spacing w:after="40"/>
      </w:pPr>
      <w:r>
        <w:t>Identify any immediate gaps in fundraising, travel, uniforms, scheduling, or parent onboarding.</w:t>
      </w:r>
    </w:p>
    <w:p>
      <w:pPr>
        <w:pStyle w:val="Heading2"/>
        <w:spacing w:before="200" w:after="80"/>
      </w:pPr>
      <w:r>
        <w:t>Board Member Acknowledgment</w:t>
      </w:r>
    </w:p>
    <w:p>
      <w:r>
        <w:t>I understand that serving on the Texas Venom Board means supporting the organization with professionalism, confidentiality, and a player-first mindset.</w:t>
      </w:r>
    </w:p>
    <w:p>
      <w:r>
        <w:br/>
        <w:t>Name: ________________________________   Date: 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Texas Venom • Coaches coach. Directors run the organization. Players develop.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56B0"/>
        <w:sz w:val="18"/>
      </w:rPr>
      <w:t>TEXAS VENOM  |  LEANDER, TEXAS SELECT SOFTBALL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56B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6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56B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