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B0"/>
          <w:sz w:val="48"/>
        </w:rPr>
        <w:t>TEXAS VENOM</w:t>
      </w:r>
    </w:p>
    <w:p>
      <w:pPr>
        <w:jc w:val="center"/>
      </w:pPr>
      <w:r>
        <w:rPr>
          <w:b/>
          <w:color w:val="1C1C1C"/>
          <w:sz w:val="36"/>
        </w:rPr>
        <w:t>Bylaws and Voting Structure</w:t>
      </w:r>
    </w:p>
    <w:p>
      <w:pPr>
        <w:jc w:val="center"/>
      </w:pPr>
      <w:r>
        <w:rPr>
          <w:i/>
          <w:color w:val="5A5A5A"/>
          <w:sz w:val="20"/>
        </w:rPr>
        <w:t>Draft governance framework for Texas Venom</w:t>
      </w:r>
    </w:p>
    <w:p/>
    <w:p>
      <w:pPr>
        <w:pStyle w:val="Heading2"/>
        <w:spacing w:before="200" w:after="80"/>
      </w:pPr>
      <w:r>
        <w:t>Article I — Name and Purpose</w:t>
      </w:r>
    </w:p>
    <w:p>
      <w:r>
        <w:t>The organization shall operate as Texas Venom, a Leander, Texas select softball organization. The purpose is to provide a structured, development-first softball environment with clear governance, transparent operations, and professional communication.</w:t>
      </w:r>
    </w:p>
    <w:p>
      <w:pPr>
        <w:pStyle w:val="Heading2"/>
        <w:spacing w:before="200" w:after="80"/>
      </w:pPr>
      <w:r>
        <w:t>Article II — Leadership Structure</w:t>
      </w:r>
    </w:p>
    <w:p>
      <w:pPr>
        <w:pStyle w:val="ListBullet"/>
        <w:spacing w:after="40"/>
      </w:pPr>
      <w:r>
        <w:t>Co-Directors hold executive responsibility for organization operations, including budget, scheduling, sponsorships, communications, brand, and documentation.</w:t>
      </w:r>
    </w:p>
    <w:p>
      <w:pPr>
        <w:pStyle w:val="ListBullet"/>
        <w:spacing w:after="40"/>
      </w:pPr>
      <w:r>
        <w:t>The Board of Directors provides governance oversight and formal voting authority on defined matters.</w:t>
      </w:r>
    </w:p>
    <w:p>
      <w:pPr>
        <w:pStyle w:val="ListBullet"/>
        <w:spacing w:after="40"/>
      </w:pPr>
      <w:r>
        <w:t>The Head Coach and staff own softball decisions, including roster use, player development, practice plans, lineups, defensive rotations, and game strategy.</w:t>
      </w:r>
    </w:p>
    <w:p>
      <w:pPr>
        <w:pStyle w:val="Heading2"/>
        <w:spacing w:before="200" w:after="80"/>
      </w:pPr>
      <w:r>
        <w:t>Article III — Board Composition</w:t>
      </w:r>
    </w:p>
    <w:p>
      <w:r>
        <w:t>The Board should maintain three voting seats when possible. Seats may include a director representative, a coaching representative, and an appointed parent/community representative. Vacancies may be filled by majority approval of existing voting board members.</w:t>
      </w:r>
    </w:p>
    <w:p>
      <w:pPr>
        <w:pStyle w:val="Heading2"/>
        <w:spacing w:before="200" w:after="80"/>
      </w:pPr>
      <w:r>
        <w:t>Article IV — Voting Matters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F5C400"/>
          </w:tcPr>
          <w:p>
            <w:r/>
            <w:r>
              <w:rPr>
                <w:rFonts w:ascii="Aptos" w:hAnsi="Aptos"/>
                <w:b/>
                <w:sz w:val="20"/>
              </w:rPr>
              <w:t>Matter</w:t>
            </w:r>
          </w:p>
        </w:tc>
        <w:tc>
          <w:tcPr>
            <w:tcW w:type="dxa" w:w="3168"/>
            <w:vAlign w:val="center"/>
            <w:shd w:fill="F5C400"/>
          </w:tcPr>
          <w:p>
            <w:r/>
            <w:r>
              <w:rPr>
                <w:rFonts w:ascii="Aptos" w:hAnsi="Aptos"/>
                <w:b/>
                <w:sz w:val="20"/>
              </w:rPr>
              <w:t>Approval Required</w:t>
            </w:r>
          </w:p>
        </w:tc>
        <w:tc>
          <w:tcPr>
            <w:tcW w:type="dxa" w:w="3600"/>
            <w:vAlign w:val="center"/>
            <w:shd w:fill="F5C400"/>
          </w:tcPr>
          <w:p>
            <w:r/>
            <w:r>
              <w:rPr>
                <w:rFonts w:ascii="Aptos" w:hAnsi="Aptos"/>
                <w:b/>
                <w:sz w:val="20"/>
              </w:rPr>
              <w:t>Notes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Annual budget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Majority vote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Includes tournament, uniform, insurance, and facility assumptions.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Expenses over approved threshold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Majority vote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Emergency safety expenses may be approved by directors and reported after.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Bylaw changes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Two-thirds vote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Changes should be documented and dated.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Coach appointment/removal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Director approval plus board notice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Field authority remains with the head coach once appointed.</w:t>
            </w:r>
          </w:p>
        </w:tc>
      </w:tr>
    </w:tbl>
    <w:p>
      <w:pPr>
        <w:pStyle w:val="Heading2"/>
        <w:spacing w:before="200" w:after="80"/>
      </w:pPr>
      <w:r>
        <w:t>Article V — Conflict of Interest</w:t>
      </w:r>
    </w:p>
    <w:p>
      <w:r>
        <w:t>Any board member with a direct personal, financial, or player-specific conflict should disclose the conflict before discussion and abstain when appropriate.</w:t>
      </w:r>
    </w:p>
    <w:p>
      <w:pPr>
        <w:pStyle w:val="Heading2"/>
        <w:spacing w:before="200" w:after="80"/>
      </w:pPr>
      <w:r>
        <w:t>Article VI — Communications and Records</w:t>
      </w:r>
    </w:p>
    <w:p>
      <w:pPr>
        <w:pStyle w:val="ListBullet"/>
        <w:spacing w:after="40"/>
      </w:pPr>
      <w:r>
        <w:t>Formal decisions should be recorded in meeting notes or written approvals.</w:t>
      </w:r>
    </w:p>
    <w:p>
      <w:pPr>
        <w:pStyle w:val="ListBullet"/>
        <w:spacing w:after="40"/>
      </w:pPr>
      <w:r>
        <w:t>Financial summaries should be available for reasonable board review.</w:t>
      </w:r>
    </w:p>
    <w:p>
      <w:pPr>
        <w:pStyle w:val="ListBullet"/>
        <w:spacing w:after="40"/>
      </w:pPr>
      <w:r>
        <w:t>Parent concerns should follow the documented escalation process and avoid game-day confrontation.</w:t>
      </w:r>
    </w:p>
    <w:p>
      <w:pPr>
        <w:pStyle w:val="Heading2"/>
        <w:spacing w:before="200" w:after="80"/>
      </w:pPr>
      <w:r>
        <w:t>Article VII — Amendment</w:t>
      </w:r>
    </w:p>
    <w:p>
      <w:r>
        <w:t>These bylaws may be amended by the required vote listed above. Each revision should include a revision date and summary of changes.</w:t>
      </w:r>
    </w:p>
    <w:p>
      <w:r>
        <w:br/>
        <w:t>Revision Date: __________________   Approved By: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Texas Venom • Coaches coach. Directors run the organization. Players develop.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56B0"/>
        <w:sz w:val="18"/>
      </w:rPr>
      <w:t>TEXAS VENOM  |  LEANDER, TEXAS SELECT SOFTBALL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56B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6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56B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