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00000"/>
          <w:sz w:val="48"/>
        </w:rPr>
        <w:t>SVdP Voucher System Cutover</w:t>
      </w:r>
    </w:p>
    <w:p>
      <w:pPr>
        <w:spacing w:after="280"/>
      </w:pPr>
      <w:r>
        <w:rPr>
          <w:rFonts w:ascii="Calibri" w:hAnsi="Calibri"/>
          <w:i/>
          <w:color w:val="595959"/>
          <w:sz w:val="25"/>
        </w:rPr>
        <w:t>Technical transition overview for merging databases, promoting the new voucher site, and retiring the pilot route</w:t>
      </w:r>
    </w:p>
    <w:p>
      <w:pPr>
        <w:spacing w:after="40"/>
      </w:pPr>
      <w:r>
        <w:rPr>
          <w:rFonts w:ascii="Calibri" w:hAnsi="Calibri"/>
          <w:b/>
        </w:rPr>
        <w:t xml:space="preserve">Primary domain: </w:t>
      </w:r>
      <w:r>
        <w:rPr>
          <w:rFonts w:ascii="Calibri" w:hAnsi="Calibri"/>
        </w:rPr>
        <w:t>svdpfortwayne.org</w:t>
      </w:r>
    </w:p>
    <w:p>
      <w:pPr>
        <w:spacing w:after="40"/>
      </w:pPr>
      <w:r>
        <w:rPr>
          <w:rFonts w:ascii="Calibri" w:hAnsi="Calibri"/>
          <w:b/>
        </w:rPr>
        <w:t xml:space="preserve">Pilot/current voucher domain: </w:t>
      </w:r>
      <w:r>
        <w:rPr>
          <w:rFonts w:ascii="Calibri" w:hAnsi="Calibri"/>
        </w:rPr>
        <w:t>voucher.svdpfortwayne.org</w:t>
      </w:r>
    </w:p>
    <w:p>
      <w:pPr>
        <w:spacing w:after="40"/>
      </w:pPr>
      <w:r>
        <w:rPr>
          <w:rFonts w:ascii="Calibri" w:hAnsi="Calibri"/>
          <w:b/>
        </w:rPr>
        <w:t xml:space="preserve">Platform root: </w:t>
      </w:r>
      <w:r>
        <w:rPr>
          <w:rFonts w:ascii="Calibri" w:hAnsi="Calibri"/>
        </w:rPr>
        <w:t>/opt/wordpress-platform</w:t>
      </w:r>
    </w:p>
    <w:p>
      <w:pPr>
        <w:spacing w:after="40"/>
      </w:pPr>
      <w:r>
        <w:rPr>
          <w:rFonts w:ascii="Calibri" w:hAnsi="Calibri"/>
          <w:b/>
        </w:rPr>
        <w:t xml:space="preserve">Cutover target: </w:t>
      </w:r>
      <w:r>
        <w:rPr>
          <w:rFonts w:ascii="Calibri" w:hAnsi="Calibri"/>
        </w:rPr>
        <w:t>Route production traffic to the new voucher WordPress container after final data reconciliation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</w:rPr>
              <w:t>Core principle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The final merge is not a whole-database import. The old production site and the new voucher site may both accumulate writes during the pilot window, so the cutover must apply a controlled delta from legacy production into the new voucher database.</w:t>
            </w:r>
          </w:p>
        </w:tc>
      </w:tr>
    </w:tbl>
    <w:p/>
    <w:p>
      <w:pPr>
        <w:pStyle w:val="Heading1"/>
      </w:pPr>
      <w:r>
        <w:t>1. Confirm the Starting Architecture</w:t>
      </w:r>
    </w:p>
    <w:p>
      <w:r>
        <w:t>Before cutover, confirm that the old production and new voucher systems are isolated and that Caddy is the only public routing point.</w:t>
      </w:r>
    </w:p>
    <w:p>
      <w:pPr>
        <w:pStyle w:val="ListBullet"/>
      </w:pPr>
      <w:r>
        <w:t>The public production domain currently routes through Caddy to the old production WordPress container.</w:t>
      </w:r>
    </w:p>
    <w:p>
      <w:pPr>
        <w:pStyle w:val="ListBullet"/>
      </w:pPr>
      <w:r>
        <w:t>The voucher subdomain routes through Caddy to the new voucher WordPress container.</w:t>
      </w:r>
    </w:p>
    <w:p>
      <w:pPr>
        <w:pStyle w:val="ListBullet"/>
      </w:pPr>
      <w:r>
        <w:t>The new voucher WordPress container uses its own MariaDB container and not the old production database.</w:t>
      </w:r>
    </w:p>
    <w:p>
      <w:pPr>
        <w:pStyle w:val="ListBullet"/>
      </w:pPr>
      <w:r>
        <w:t>The new voucher stack has separate Docker volumes for WordPress files and database data.</w:t>
      </w:r>
    </w:p>
    <w:p>
      <w:pPr>
        <w:pStyle w:val="ListBullet"/>
      </w:pPr>
      <w:r>
        <w:t>The new voucher wp-content path is separate from production wp-content.</w:t>
      </w:r>
    </w:p>
    <w:p>
      <w:r>
        <w:t>The critical invariant is that the new voucher site is the future production system, while the old production site is only a source of final legacy changes.</w:t>
      </w:r>
    </w:p>
    <w:p>
      <w:pPr>
        <w:pStyle w:val="Heading1"/>
      </w:pPr>
      <w:r>
        <w:t>2. Establish the Pilot Baseline</w:t>
      </w:r>
    </w:p>
    <w:p>
      <w:r>
        <w:t>At the moment the voucher site is seeded from production, preserve a baseline snapshot. This baseline is what makes the final database reconciliation possible.</w:t>
      </w:r>
    </w:p>
    <w:p>
      <w:pPr>
        <w:pStyle w:val="ListBullet"/>
      </w:pPr>
      <w:r>
        <w:t>Preserve the old production database dump at the clone moment.</w:t>
      </w:r>
    </w:p>
    <w:p>
      <w:pPr>
        <w:pStyle w:val="ListBullet"/>
      </w:pPr>
      <w:r>
        <w:t>Preserve the old production wp-content archive at the clone moment.</w:t>
      </w:r>
    </w:p>
    <w:p>
      <w:pPr>
        <w:pStyle w:val="ListBullet"/>
      </w:pPr>
      <w:r>
        <w:t>Preserve the new voucher database immediately after import.</w:t>
      </w:r>
    </w:p>
    <w:p>
      <w:pPr>
        <w:pStyle w:val="ListBullet"/>
      </w:pPr>
      <w:r>
        <w:t>Preserve the new voucher wp-content immediately after import.</w:t>
      </w:r>
    </w:p>
    <w:p>
      <w:pPr>
        <w:pStyle w:val="ListBullet"/>
      </w:pPr>
      <w:r>
        <w:t>Record timestamps, file names, source containers, target containers, and checksums.</w:t>
      </w:r>
    </w:p>
    <w:p>
      <w:r>
        <w:t>Later, the final merge compares the old production database at cutover against this baseline to determine what changed while the voucher site was being piloted.</w:t>
      </w:r>
    </w:p>
    <w:p>
      <w:pPr>
        <w:pStyle w:val="Heading1"/>
      </w:pPr>
      <w:r>
        <w:t>3. Run the Pilot With Clear Data Ownership</w:t>
      </w:r>
    </w:p>
    <w:p>
      <w:r>
        <w:t>During the pilot period, both systems are live. The organization needs explicit ownership rules so the final merge is deterministic.</w:t>
      </w:r>
    </w:p>
    <w:p>
      <w:pPr>
        <w:pStyle w:val="ListBullet"/>
      </w:pPr>
      <w:r>
        <w:t>Pilot Conferences use the new voucher site.</w:t>
      </w:r>
    </w:p>
    <w:p>
      <w:pPr>
        <w:pStyle w:val="ListBullet"/>
      </w:pPr>
      <w:r>
        <w:t>Non-pilot Conferences continue using the old production site.</w:t>
      </w:r>
    </w:p>
    <w:p>
      <w:pPr>
        <w:pStyle w:val="ListBullet"/>
      </w:pPr>
      <w:r>
        <w:t>Cashiers may need access to both cashier stations.</w:t>
      </w:r>
    </w:p>
    <w:p>
      <w:pPr>
        <w:pStyle w:val="ListBullet"/>
      </w:pPr>
      <w:r>
        <w:t>A voucher or request should be edited or redeemed only in the system where it was created or assigned.</w:t>
      </w:r>
    </w:p>
    <w:p>
      <w:pPr>
        <w:pStyle w:val="ListBullet"/>
      </w:pPr>
      <w:r>
        <w:t>Exceptions should be logged and reconciled deliberately.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</w:rPr>
              <w:t>Expected collision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Because the voucher database begins as a clone, both systems can create new rows with the same numeric primary keys after the clone. The merge process must expect this and maintain an ID map.</w:t>
            </w:r>
          </w:p>
        </w:tc>
      </w:tr>
    </w:tbl>
    <w:p/>
    <w:p>
      <w:pPr>
        <w:pStyle w:val="Heading1"/>
      </w:pPr>
      <w:r>
        <w:t>4. Prepare for Final Cutover</w:t>
      </w:r>
    </w:p>
    <w:p>
      <w:r>
        <w:t>Before the cutover window, rehearse the merge using recent copies of both databases. The rehearsal should produce a conflict report and prove that the merge rules are complete.</w:t>
      </w:r>
    </w:p>
    <w:p>
      <w:pPr>
        <w:pStyle w:val="ListBullet"/>
      </w:pPr>
      <w:r>
        <w:t>Identify WordPress core tables, voucher plugin tables, other plugin tables, and configuration-only tables.</w:t>
      </w:r>
    </w:p>
    <w:p>
      <w:pPr>
        <w:pStyle w:val="ListBullet"/>
      </w:pPr>
      <w:r>
        <w:t>Identify tables that require row-level delta merging rather than replacement.</w:t>
      </w:r>
    </w:p>
    <w:p>
      <w:pPr>
        <w:pStyle w:val="ListBullet"/>
      </w:pPr>
      <w:r>
        <w:t>Check for primary-key collisions and foreign-key or implicit relationship dependencies.</w:t>
      </w:r>
    </w:p>
    <w:p>
      <w:pPr>
        <w:pStyle w:val="ListBullet"/>
      </w:pPr>
      <w:r>
        <w:t>Compare upload paths and content hashes for file collisions.</w:t>
      </w:r>
    </w:p>
    <w:p>
      <w:pPr>
        <w:pStyle w:val="ListBullet"/>
      </w:pPr>
      <w:r>
        <w:t>Reconcile voucher counts, accounting totals, status totals, and Conference totals.</w:t>
      </w:r>
    </w:p>
    <w:p>
      <w:pPr>
        <w:pStyle w:val="ListBullet"/>
      </w:pPr>
      <w:r>
        <w:t>Resolve conflicts requiring human judgment before the production window.</w:t>
      </w:r>
    </w:p>
    <w:p>
      <w:pPr>
        <w:pStyle w:val="Heading1"/>
      </w:pPr>
      <w:r>
        <w:t>5. Freeze Writes</w:t>
      </w:r>
    </w:p>
    <w:p>
      <w:r>
        <w:t>At the start of final cutover, freeze writes on both systems. The final database state must stop moving before the last delta is captured.</w:t>
      </w:r>
    </w:p>
    <w:p>
      <w:pPr>
        <w:pStyle w:val="ListBullet"/>
      </w:pPr>
      <w:r>
        <w:t>Freeze public voucher requests.</w:t>
      </w:r>
    </w:p>
    <w:p>
      <w:pPr>
        <w:pStyle w:val="ListBullet"/>
      </w:pPr>
      <w:r>
        <w:t>Freeze cashier actions and partner-facing voucher activity.</w:t>
      </w:r>
    </w:p>
    <w:p>
      <w:pPr>
        <w:pStyle w:val="ListBullet"/>
      </w:pPr>
      <w:r>
        <w:t>Freeze voucher admin changes, configuration edits, user changes, and media changes that could affect the merged result.</w:t>
      </w:r>
    </w:p>
    <w:p>
      <w:pPr>
        <w:pStyle w:val="ListBullet"/>
      </w:pPr>
      <w:r>
        <w:t>Use a maintenance response, temporary access restriction, or application-level read-only mode.</w:t>
      </w:r>
    </w:p>
    <w:p>
      <w:pPr>
        <w:pStyle w:val="ListBullet"/>
      </w:pPr>
      <w:r>
        <w:t>Keep the freeze in place until post-cutover acceptance is complete.</w:t>
      </w:r>
    </w:p>
    <w:p>
      <w:pPr>
        <w:pStyle w:val="Heading1"/>
      </w:pPr>
      <w:r>
        <w:t>6. Take Final Backups</w:t>
      </w:r>
    </w:p>
    <w:p>
      <w:r>
        <w:t>After the freeze, take fresh backups of both systems and validate them before making any irreversible changes.</w:t>
      </w:r>
    </w:p>
    <w:p>
      <w:pPr>
        <w:pStyle w:val="ListBullet"/>
      </w:pPr>
      <w:r>
        <w:t>Back up old production database and wp-content.</w:t>
      </w:r>
    </w:p>
    <w:p>
      <w:pPr>
        <w:pStyle w:val="ListBullet"/>
      </w:pPr>
      <w:r>
        <w:t>Back up new voucher database and wp-content.</w:t>
      </w:r>
    </w:p>
    <w:p>
      <w:pPr>
        <w:pStyle w:val="ListBullet"/>
      </w:pPr>
      <w:r>
        <w:t>Back up Docker Compose, environment configuration, and the Caddyfile.</w:t>
      </w:r>
    </w:p>
    <w:p>
      <w:pPr>
        <w:pStyle w:val="ListBullet"/>
      </w:pPr>
      <w:r>
        <w:t>Record the freeze timestamp and the backup timestamp.</w:t>
      </w:r>
    </w:p>
    <w:p>
      <w:pPr>
        <w:pStyle w:val="ListBullet"/>
      </w:pPr>
      <w:r>
        <w:t>Validate backup readability and checksums before proceeding.</w:t>
      </w:r>
    </w:p>
    <w:p>
      <w:r>
        <w:t>If backup validation fails, stop the cutover and fix the backup process first.</w:t>
      </w:r>
    </w:p>
    <w:p>
      <w:pPr>
        <w:pStyle w:val="Heading1"/>
      </w:pPr>
      <w:r>
        <w:t>7. Generate the Legacy Delta</w:t>
      </w:r>
    </w:p>
    <w:p>
      <w:r>
        <w:t>Compare the final old production database against the pilot baseline. For each relevant table, classify rows according to how they changed since the baseline.</w:t>
      </w:r>
    </w:p>
    <w:p>
      <w:pPr>
        <w:pStyle w:val="ListBullet"/>
      </w:pPr>
      <w:r>
        <w:t>Rows unchanged since baseline require no action.</w:t>
      </w:r>
    </w:p>
    <w:p>
      <w:pPr>
        <w:pStyle w:val="ListBullet"/>
      </w:pPr>
      <w:r>
        <w:t>Rows inserted in old production after baseline must be imported into the new voucher database.</w:t>
      </w:r>
    </w:p>
    <w:p>
      <w:pPr>
        <w:pStyle w:val="ListBullet"/>
      </w:pPr>
      <w:r>
        <w:t>Rows updated in old production after baseline must be applied only if the new voucher database did not independently change the same logical row.</w:t>
      </w:r>
    </w:p>
    <w:p>
      <w:pPr>
        <w:pStyle w:val="ListBullet"/>
      </w:pPr>
      <w:r>
        <w:t>Rows deleted or missing from old production should not cause hard deletes in the new voucher database without review.</w:t>
      </w:r>
    </w:p>
    <w:p>
      <w:r>
        <w:t>Do not rely only on timestamps unless every relevant table has trustworthy update timestamps. Primary-key comparison plus normalized row hashing is safer.</w:t>
      </w:r>
    </w:p>
    <w:p>
      <w:pPr>
        <w:pStyle w:val="Heading1"/>
      </w:pPr>
      <w:r>
        <w:t>8. Apply the Delta Into the New Voucher Database</w:t>
      </w:r>
    </w:p>
    <w:p>
      <w:r>
        <w:t>Apply legacy-side changes into the new voucher database using deterministic rules and a persistent ID map.</w:t>
      </w:r>
    </w:p>
    <w:p>
      <w:pPr>
        <w:pStyle w:val="Heading2"/>
      </w:pPr>
      <w:r>
        <w:t>Rows that existed at baseline</w:t>
      </w:r>
    </w:p>
    <w:p>
      <w:pPr>
        <w:pStyle w:val="ListBullet"/>
      </w:pPr>
      <w:r>
        <w:t>If old production changed the row and the new voucher database did not, update the new voucher row.</w:t>
      </w:r>
    </w:p>
    <w:p>
      <w:pPr>
        <w:pStyle w:val="ListBullet"/>
      </w:pPr>
      <w:r>
        <w:t>If both systems changed the same row, record a conflict for manual resolution.</w:t>
      </w:r>
    </w:p>
    <w:p>
      <w:pPr>
        <w:pStyle w:val="ListBullet"/>
      </w:pPr>
      <w:r>
        <w:t>If the old production row disappeared, do not hard-delete it from the new voucher database without review.</w:t>
      </w:r>
    </w:p>
    <w:p>
      <w:pPr>
        <w:pStyle w:val="Heading2"/>
      </w:pPr>
      <w:r>
        <w:t>Rows inserted after baseline</w:t>
      </w:r>
    </w:p>
    <w:p>
      <w:pPr>
        <w:pStyle w:val="ListBullet"/>
      </w:pPr>
      <w:r>
        <w:t>Insert legacy-only rows into the new voucher database.</w:t>
      </w:r>
    </w:p>
    <w:p>
      <w:pPr>
        <w:pStyle w:val="ListBullet"/>
      </w:pPr>
      <w:r>
        <w:t>If the numeric ID is already used by a different new voucher row, assign a new ID and record the mapping.</w:t>
      </w:r>
    </w:p>
    <w:p>
      <w:pPr>
        <w:pStyle w:val="ListBullet"/>
      </w:pPr>
      <w:r>
        <w:t>Update child rows, dependent rows, and implicit references to follow the ID map.</w:t>
      </w:r>
    </w:p>
    <w:p>
      <w:pPr>
        <w:pStyle w:val="Heading2"/>
      </w:pPr>
      <w:r>
        <w:t>Voucher-specific relationships</w:t>
      </w:r>
    </w:p>
    <w:p>
      <w:pPr>
        <w:pStyle w:val="ListBullet"/>
      </w:pPr>
      <w:r>
        <w:t>Preserve relationships across vouchers, request groups, voucher items, fulfillment entries, accounting rows, audit rows, photos, receipts, invoices, and related metadata.</w:t>
      </w:r>
    </w:p>
    <w:p>
      <w:pPr>
        <w:pStyle w:val="ListBullet"/>
      </w:pPr>
      <w:r>
        <w:t>Preserve old-only legacy tables read-only if they matter for history, reporting, or audit.</w:t>
      </w:r>
    </w:p>
    <w:p>
      <w:pPr>
        <w:pStyle w:val="Heading1"/>
      </w:pPr>
      <w:r>
        <w:t>9. Merge Uploads and Generated Files</w:t>
      </w:r>
    </w:p>
    <w:p>
      <w:r>
        <w:t>Merge production uploads into the new voucher site's uploads directory using relative paths and content hashes.</w:t>
      </w:r>
    </w:p>
    <w:p>
      <w:pPr>
        <w:pStyle w:val="ListBullet"/>
      </w:pPr>
      <w:r>
        <w:t>Copy files that exist only in old production.</w:t>
      </w:r>
    </w:p>
    <w:p>
      <w:pPr>
        <w:pStyle w:val="ListBullet"/>
      </w:pPr>
      <w:r>
        <w:t>Treat files with the same path and same hash as already merged.</w:t>
      </w:r>
    </w:p>
    <w:p>
      <w:pPr>
        <w:pStyle w:val="ListBullet"/>
      </w:pPr>
      <w:r>
        <w:t>Stop and resolve any same-path, different-content collision manually.</w:t>
      </w:r>
    </w:p>
    <w:p>
      <w:pPr>
        <w:pStyle w:val="ListBullet"/>
      </w:pPr>
      <w:r>
        <w:t>Pay particular attention to media library files, voucher PDFs, receipts, furniture photos, accounting exports, and generated documents.</w:t>
      </w:r>
    </w:p>
    <w:p>
      <w:pPr>
        <w:pStyle w:val="ListBullet"/>
      </w:pPr>
      <w:r>
        <w:t>After merging, ensure ownership and permissions match the WordPress container's runtime user.</w:t>
      </w:r>
    </w:p>
    <w:p>
      <w:pPr>
        <w:pStyle w:val="Heading1"/>
      </w:pPr>
      <w:r>
        <w:t>10. Update WordPress Runtime URLs</w:t>
      </w:r>
    </w:p>
    <w:p>
      <w:r>
        <w:t>Once the new voucher database is the final production database, update its WordPress URL settings.</w:t>
      </w:r>
    </w:p>
    <w:p>
      <w:pPr>
        <w:pStyle w:val="ListBullet"/>
      </w:pPr>
      <w:r>
        <w:t>Set home to https://svdpfortwayne.org.</w:t>
      </w:r>
    </w:p>
    <w:p>
      <w:pPr>
        <w:pStyle w:val="ListBullet"/>
      </w:pPr>
      <w:r>
        <w:t>Set siteurl to https://svdpfortwayne.org.</w:t>
      </w:r>
    </w:p>
    <w:p>
      <w:pPr>
        <w:pStyle w:val="ListBullet"/>
      </w:pPr>
      <w:r>
        <w:t>Use a serialization-safe WordPress search-replace for content, options, and post meta that may contain the pilot hostname.</w:t>
      </w:r>
    </w:p>
    <w:p>
      <w:pPr>
        <w:pStyle w:val="ListBullet"/>
      </w:pPr>
      <w:r>
        <w:t>Check for hardcoded pilot, staging, local development, or old server URLs.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</w:rPr>
              <w:t>Serialization caveat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Do not use naive SQL replacement across serialized WordPress options or post meta. Use a WordPress-aware search-replace tool when replacing the pilot hostname in stored content.</w:t>
            </w:r>
          </w:p>
        </w:tc>
      </w:tr>
    </w:tbl>
    <w:p/>
    <w:p>
      <w:pPr>
        <w:pStyle w:val="Heading1"/>
      </w:pPr>
      <w:r>
        <w:t>11. Promote the New Container at Caddy</w:t>
      </w:r>
    </w:p>
    <w:p>
      <w:r>
        <w:t>If DNS already points to this server, Caddy is the public cutover point.</w:t>
      </w:r>
    </w:p>
    <w:p>
      <w:pPr>
        <w:pStyle w:val="ListBullet"/>
      </w:pPr>
      <w:r>
        <w:t>Change the production domain route so it proxies to the new voucher WordPress container instead of the old production WordPress container.</w:t>
      </w:r>
    </w:p>
    <w:p>
      <w:pPr>
        <w:pStyle w:val="ListBullet"/>
      </w:pPr>
      <w:r>
        <w:t>Change the voucher subdomain from serving the pilot site to redirecting to the production domain.</w:t>
      </w:r>
    </w:p>
    <w:p>
      <w:pPr>
        <w:pStyle w:val="ListBullet"/>
      </w:pPr>
      <w:r>
        <w:t>Keep the www hostname redirecting to the apex production domain.</w:t>
      </w:r>
    </w:p>
    <w:p>
      <w:pPr>
        <w:pStyle w:val="ListBullet"/>
      </w:pPr>
      <w:r>
        <w:t>Remove the noindex header from the final production domain if it was inherited from the pilot route.</w:t>
      </w:r>
    </w:p>
    <w:p>
      <w:pPr>
        <w:pStyle w:val="ListBullet"/>
      </w:pPr>
      <w:r>
        <w:t>Validate the Caddyfile before reloading Caddy.</w:t>
      </w:r>
    </w:p>
    <w:p>
      <w:pPr>
        <w:pStyle w:val="Heading1"/>
      </w:pPr>
      <w:r>
        <w:t>12. Update DNS If Needed</w:t>
      </w:r>
    </w:p>
    <w:p>
      <w:r>
        <w:t>DNS may not need to change if the production domain already resolves to this server. If it does need to change, keep the DNS step coordinated with the Caddy promotion.</w:t>
      </w:r>
    </w:p>
    <w:p>
      <w:pPr>
        <w:pStyle w:val="ListBullet"/>
      </w:pPr>
      <w:r>
        <w:t>Point the apex domain to the server.</w:t>
      </w:r>
    </w:p>
    <w:p>
      <w:pPr>
        <w:pStyle w:val="ListBullet"/>
      </w:pPr>
      <w:r>
        <w:t>Point www to the apex domain or the same target.</w:t>
      </w:r>
    </w:p>
    <w:p>
      <w:pPr>
        <w:pStyle w:val="ListBullet"/>
      </w:pPr>
      <w:r>
        <w:t>Point the voucher subdomain to the same target if it remains as a redirect.</w:t>
      </w:r>
    </w:p>
    <w:p>
      <w:pPr>
        <w:pStyle w:val="ListBullet"/>
      </w:pPr>
      <w:r>
        <w:t>Lower TTLs ahead of the maintenance window where possible.</w:t>
      </w:r>
    </w:p>
    <w:p>
      <w:pPr>
        <w:pStyle w:val="ListBullet"/>
      </w:pPr>
      <w:r>
        <w:t>If Cloudflare is involved, confirm proxy mode, TLS mode, and cache behavior.</w:t>
      </w:r>
    </w:p>
    <w:p>
      <w:pPr>
        <w:pStyle w:val="ListBullet"/>
      </w:pPr>
      <w:r>
        <w:t>Verify public resolution before accepting the cutover.</w:t>
      </w:r>
    </w:p>
    <w:p>
      <w:pPr>
        <w:pStyle w:val="Heading1"/>
      </w:pPr>
      <w:r>
        <w:t>13. Run Acceptance Checks</w:t>
      </w:r>
    </w:p>
    <w:p>
      <w:r>
        <w:t>After routing changes, validate that the new production site is functional and that the merged data is complete.</w:t>
      </w:r>
    </w:p>
    <w:p>
      <w:pPr>
        <w:pStyle w:val="ListBullet"/>
      </w:pPr>
      <w:r>
        <w:t>Check homepage, login, admin dashboard, voucher request form, cashier station, and REST endpoints.</w:t>
      </w:r>
    </w:p>
    <w:p>
      <w:pPr>
        <w:pStyle w:val="ListBullet"/>
      </w:pPr>
      <w:r>
        <w:t>Exercise duplicate detection, voucher creation, voucher redemption, Conference filtering, partner workflows, and accounting/report views.</w:t>
      </w:r>
    </w:p>
    <w:p>
      <w:pPr>
        <w:pStyle w:val="ListBullet"/>
      </w:pPr>
      <w:r>
        <w:t>Confirm generated documents and media render correctly.</w:t>
      </w:r>
    </w:p>
    <w:p>
      <w:pPr>
        <w:pStyle w:val="ListBullet"/>
      </w:pPr>
      <w:r>
        <w:t>Confirm XML-RPC remains blocked.</w:t>
      </w:r>
    </w:p>
    <w:p>
      <w:pPr>
        <w:pStyle w:val="ListBullet"/>
      </w:pPr>
      <w:r>
        <w:t>Confirm the pilot subdomain redirects and no longer exposes the pilot interface.</w:t>
      </w:r>
    </w:p>
    <w:p>
      <w:pPr>
        <w:pStyle w:val="ListBullet"/>
      </w:pPr>
      <w:r>
        <w:t>Compare final counts for vouchers by status, type, and Conference; redemptions; audit records; accounting totals; request groups; fulfillment rows; and uploaded/generated files.</w:t>
      </w:r>
    </w:p>
    <w:p>
      <w:pPr>
        <w:pStyle w:val="Heading1"/>
      </w:pPr>
      <w:r>
        <w:t>14. Keep the Old Production Stack Intact</w:t>
      </w:r>
    </w:p>
    <w:p>
      <w:r>
        <w:t>Do not remove the old production containers, database volume, or wp-content immediately after cutover.</w:t>
      </w:r>
    </w:p>
    <w:p>
      <w:pPr>
        <w:pStyle w:val="ListBullet"/>
      </w:pPr>
      <w:r>
        <w:t>Remove public routing to the old production WordPress container.</w:t>
      </w:r>
    </w:p>
    <w:p>
      <w:pPr>
        <w:pStyle w:val="ListBullet"/>
      </w:pPr>
      <w:r>
        <w:t>Keep the old stack available for reference or rollback.</w:t>
      </w:r>
    </w:p>
    <w:p>
      <w:pPr>
        <w:pStyle w:val="ListBullet"/>
      </w:pPr>
      <w:r>
        <w:t>Prevent new voucher writes in the old system.</w:t>
      </w:r>
    </w:p>
    <w:p>
      <w:pPr>
        <w:pStyle w:val="ListBullet"/>
      </w:pPr>
      <w:r>
        <w:t>Preserve final backups, merge receipts, and conflict reports.</w:t>
      </w:r>
    </w:p>
    <w:p>
      <w:pPr>
        <w:pStyle w:val="ListBullet"/>
      </w:pPr>
      <w:r>
        <w:t>Retire old containers and volumes only after the stabilization period and explicit approval.</w:t>
      </w:r>
    </w:p>
    <w:p>
      <w:pPr>
        <w:pStyle w:val="Heading1"/>
      </w:pPr>
      <w:r>
        <w:t>15. Rollback Considerations</w:t>
      </w:r>
    </w:p>
    <w:p>
      <w:r>
        <w:t>Rollback depends on how far the cutover progressed.</w:t>
      </w:r>
    </w:p>
    <w:p>
      <w:pPr>
        <w:pStyle w:val="ListBullet"/>
      </w:pPr>
      <w:r>
        <w:t>If only Caddy routing changed, rollback can usually route the production domain back to the old production WordPress container.</w:t>
      </w:r>
    </w:p>
    <w:p>
      <w:pPr>
        <w:pStyle w:val="ListBullet"/>
      </w:pPr>
      <w:r>
        <w:t>If the new database was modified by final merge, rollback is a data decision, not only a routing decision.</w:t>
      </w:r>
    </w:p>
    <w:p>
      <w:pPr>
        <w:pStyle w:val="ListBullet"/>
      </w:pPr>
      <w:r>
        <w:t>If users created post-cutover data in the new production system, freeze writes again before rollback decisions.</w:t>
      </w:r>
    </w:p>
    <w:p>
      <w:pPr>
        <w:pStyle w:val="ListBullet"/>
      </w:pPr>
      <w:r>
        <w:t>Choose whether to fix forward, restore the new site from pre-merge backup, or route back to old production and preserve post-cutover writes for later reconciliation.</w:t>
      </w:r>
    </w:p>
    <w:p>
      <w:pPr>
        <w:pStyle w:val="Heading1"/>
      </w:pPr>
      <w:r>
        <w:t>16. Post-Cutover Monitoring</w:t>
      </w:r>
    </w:p>
    <w:p>
      <w:r>
        <w:t>For the first several days, monitor application health and data integrity closely.</w:t>
      </w:r>
    </w:p>
    <w:p>
      <w:pPr>
        <w:pStyle w:val="ListBullet"/>
      </w:pPr>
      <w:r>
        <w:t>Watch WordPress, PHP, Caddy, and database logs.</w:t>
      </w:r>
    </w:p>
    <w:p>
      <w:pPr>
        <w:pStyle w:val="ListBullet"/>
      </w:pPr>
      <w:r>
        <w:t>Watch failed REST requests, failed voucher submissions, and cashier station behavior.</w:t>
      </w:r>
    </w:p>
    <w:p>
      <w:pPr>
        <w:pStyle w:val="ListBullet"/>
      </w:pPr>
      <w:r>
        <w:t>Check accounting/report discrepancies, missing uploads, unexpected redirects, session issues, DNS issues, and certificate issues.</w:t>
      </w:r>
    </w:p>
    <w:p>
      <w:pPr>
        <w:pStyle w:val="ListBullet"/>
      </w:pPr>
      <w:r>
        <w:t>Run daily reconciliation reports until the organization accepts the new system as the single source of truth.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Draft operational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8"/>
      </w:rPr>
      <w:t>SVdP Voucher Cutover Technical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SVdP Voucher System Cutover Technical Overview</dc:title>
  <dc:subject>Technical transition overview for database merge and production cutover</dc:subject>
  <dc:creator>Codex</dc:creator>
  <cp:keywords>SVdP, WordPress, Docker, Caddy, database merge, cutover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