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8A79A" w14:textId="4D400DF1" w:rsidR="00085E1F" w:rsidRDefault="005F4BC1">
      <w:pPr>
        <w:pStyle w:val="Title"/>
      </w:pPr>
      <w:r>
        <w:t>Vincentian Hub</w:t>
      </w:r>
      <w:r w:rsidR="00000000">
        <w:t xml:space="preserve"> Technical Handoff</w:t>
      </w:r>
    </w:p>
    <w:p w14:paraId="5A9276FE" w14:textId="77777777" w:rsidR="00085E1F" w:rsidRDefault="00000000">
      <w:pPr>
        <w:spacing w:after="200"/>
      </w:pPr>
      <w:r>
        <w:rPr>
          <w:color w:val="464646"/>
          <w:sz w:val="22"/>
        </w:rPr>
        <w:t>Developer handoff for Codex, Spec Kit, and GitHub Issues. This document translates the contracts into implementation guidance and deliverable structure.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085E1F" w14:paraId="34BD2448" w14:textId="77777777">
        <w:tc>
          <w:tcPr>
            <w:tcW w:w="9936" w:type="dxa"/>
            <w:shd w:val="clear" w:color="auto" w:fill="EDF3F8"/>
          </w:tcPr>
          <w:p w14:paraId="3FEBC305" w14:textId="77777777" w:rsidR="00085E1F" w:rsidRDefault="00085E1F"/>
          <w:p w14:paraId="52A55B00" w14:textId="77777777" w:rsidR="00085E1F" w:rsidRDefault="00000000">
            <w:pPr>
              <w:pStyle w:val="ListBullet"/>
              <w:spacing w:after="0"/>
            </w:pPr>
            <w:r>
              <w:t>Use the hard-contract spec as the source of truth for keys, semantics, and capability mapping.</w:t>
            </w:r>
          </w:p>
          <w:p w14:paraId="2CA0F414" w14:textId="77777777" w:rsidR="00085E1F" w:rsidRDefault="00000000">
            <w:pPr>
              <w:pStyle w:val="ListBullet"/>
              <w:spacing w:after="0"/>
            </w:pPr>
            <w:r>
              <w:t>Adopt the current WordPress theme's basics. Do not spend time reinventing brand styling. Make the interface explicitly mobile-first.</w:t>
            </w:r>
          </w:p>
          <w:p w14:paraId="35C07E61" w14:textId="77777777" w:rsidR="00085E1F" w:rsidRDefault="00000000">
            <w:pPr>
              <w:pStyle w:val="ListBullet"/>
              <w:spacing w:after="0"/>
            </w:pPr>
            <w:r>
              <w:t>Prioritize reliable permissioning, predictable admin workflows, and simple event/document delivery over clever integrations.</w:t>
            </w:r>
          </w:p>
        </w:tc>
      </w:tr>
    </w:tbl>
    <w:p w14:paraId="5725BE37" w14:textId="77777777" w:rsidR="00085E1F" w:rsidRDefault="00085E1F"/>
    <w:p w14:paraId="5DFF1893" w14:textId="77777777" w:rsidR="00085E1F" w:rsidRDefault="00000000">
      <w:pPr>
        <w:pStyle w:val="Heading1"/>
      </w:pPr>
      <w:r>
        <w:t>1. Product Summary</w:t>
      </w:r>
    </w:p>
    <w:p w14:paraId="1E5E9C04" w14:textId="77777777" w:rsidR="00085E1F" w:rsidRDefault="00000000">
      <w:r>
        <w:t>Build a gated WordPress resource portal that preserves existing conference page URLs, authenticates users with Google Sign-In, personalizes access by approved conference or district role, surfaces curated tools and documents, and supports targeted announcements and events with meeting packet attachments and calendar export.</w:t>
      </w:r>
    </w:p>
    <w:p w14:paraId="2E940C69" w14:textId="77777777" w:rsidR="00085E1F" w:rsidRDefault="00000000">
      <w:pPr>
        <w:pStyle w:val="Heading1"/>
      </w:pPr>
      <w:r>
        <w:t>2. Delivery Targets</w:t>
      </w:r>
    </w:p>
    <w:p w14:paraId="00ACF283" w14:textId="77777777" w:rsidR="00085E1F" w:rsidRDefault="00000000">
      <w:pPr>
        <w:pStyle w:val="ListNumber"/>
      </w:pPr>
      <w:r>
        <w:t>Preserve all existing /district-resources/&lt;conference-name&gt; URLs and render a dynamic dashboard in place.</w:t>
      </w:r>
    </w:p>
    <w:p w14:paraId="05E04151" w14:textId="77777777" w:rsidR="00085E1F" w:rsidRDefault="00000000">
      <w:pPr>
        <w:pStyle w:val="ListNumber"/>
      </w:pPr>
      <w:r>
        <w:t>Implement Google-based sign-in with trusted-directory and approved-domain approval logic.</w:t>
      </w:r>
    </w:p>
    <w:p w14:paraId="07367CF9" w14:textId="77777777" w:rsidR="00085E1F" w:rsidRDefault="00000000">
      <w:pPr>
        <w:pStyle w:val="ListNumber"/>
      </w:pPr>
      <w:r>
        <w:t>Create first-class content objects for dashboard items, announcements, documents, and events.</w:t>
      </w:r>
    </w:p>
    <w:p w14:paraId="50651271" w14:textId="77777777" w:rsidR="00085E1F" w:rsidRDefault="00000000">
      <w:pPr>
        <w:pStyle w:val="ListNumber"/>
      </w:pPr>
      <w:r>
        <w:t>Implement a single shared targeting resolver used everywhere.</w:t>
      </w:r>
    </w:p>
    <w:p w14:paraId="5081612A" w14:textId="77777777" w:rsidR="00085E1F" w:rsidRDefault="00000000">
      <w:pPr>
        <w:pStyle w:val="ListNumber"/>
      </w:pPr>
      <w:r>
        <w:t>Deliver WordPress-controlled document preview/download and event detail pages.</w:t>
      </w:r>
    </w:p>
    <w:p w14:paraId="0E795DE7" w14:textId="77777777" w:rsidR="00085E1F" w:rsidRDefault="00000000">
      <w:pPr>
        <w:pStyle w:val="ListNumber"/>
      </w:pPr>
      <w:r>
        <w:t>Deliver personal calendar outputs through private ICS feed URLs and single-event add/download.</w:t>
      </w:r>
    </w:p>
    <w:p w14:paraId="611431FF" w14:textId="77777777" w:rsidR="00085E1F" w:rsidRDefault="00000000">
      <w:pPr>
        <w:pStyle w:val="Heading1"/>
      </w:pPr>
      <w:r>
        <w:t>3. Build Principles</w:t>
      </w:r>
    </w:p>
    <w:p w14:paraId="5ECEDDA0" w14:textId="77777777" w:rsidR="00085E1F" w:rsidRDefault="00000000">
      <w:pPr>
        <w:pStyle w:val="ListBullet"/>
      </w:pPr>
      <w:r>
        <w:t>WordPress is the source of truth for portal content and events.</w:t>
      </w:r>
    </w:p>
    <w:p w14:paraId="411922BC" w14:textId="77777777" w:rsidR="00085E1F" w:rsidRDefault="00000000">
      <w:pPr>
        <w:pStyle w:val="ListBullet"/>
      </w:pPr>
      <w:r>
        <w:t>Google Drive is an upstream document source, not the user interface.</w:t>
      </w:r>
    </w:p>
    <w:p w14:paraId="7C565771" w14:textId="77777777" w:rsidR="00085E1F" w:rsidRDefault="00000000">
      <w:pPr>
        <w:pStyle w:val="ListBullet"/>
      </w:pPr>
      <w:r>
        <w:t>Backend authorization uses capabilities. Front-end visibility uses user context plus targeting metadata.</w:t>
      </w:r>
    </w:p>
    <w:p w14:paraId="17657F64" w14:textId="77777777" w:rsidR="00085E1F" w:rsidRDefault="00000000">
      <w:pPr>
        <w:pStyle w:val="ListBullet"/>
      </w:pPr>
      <w:r>
        <w:t>The current WordPress theme supplies the visual baseline. Portal work should focus on layout, hierarchy, spacing, readability, and mobile-first behavior.</w:t>
      </w:r>
    </w:p>
    <w:p w14:paraId="2BD4E40A" w14:textId="77777777" w:rsidR="00085E1F" w:rsidRDefault="00000000">
      <w:pPr>
        <w:pStyle w:val="Heading1"/>
      </w:pPr>
      <w:r>
        <w:t>4. Required Modules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6192"/>
      </w:tblGrid>
      <w:tr w:rsidR="00085E1F" w14:paraId="54605842" w14:textId="77777777">
        <w:tc>
          <w:tcPr>
            <w:tcW w:w="4968" w:type="dxa"/>
            <w:shd w:val="clear" w:color="auto" w:fill="DCE6F1"/>
          </w:tcPr>
          <w:p w14:paraId="213D1CC4" w14:textId="77777777" w:rsidR="00085E1F" w:rsidRDefault="00000000">
            <w:r>
              <w:rPr>
                <w:b/>
                <w:sz w:val="19"/>
              </w:rPr>
              <w:t>Module</w:t>
            </w:r>
          </w:p>
        </w:tc>
        <w:tc>
          <w:tcPr>
            <w:tcW w:w="4968" w:type="dxa"/>
            <w:shd w:val="clear" w:color="auto" w:fill="DCE6F1"/>
          </w:tcPr>
          <w:p w14:paraId="40854978" w14:textId="77777777" w:rsidR="00085E1F" w:rsidRDefault="00000000">
            <w:r>
              <w:rPr>
                <w:b/>
                <w:sz w:val="19"/>
              </w:rPr>
              <w:t>Responsibility</w:t>
            </w:r>
          </w:p>
        </w:tc>
      </w:tr>
      <w:tr w:rsidR="00085E1F" w14:paraId="208DA1E4" w14:textId="77777777">
        <w:tc>
          <w:tcPr>
            <w:tcW w:w="3312" w:type="dxa"/>
          </w:tcPr>
          <w:p w14:paraId="0F26C9C0" w14:textId="77777777" w:rsidR="00085E1F" w:rsidRDefault="00000000">
            <w:r>
              <w:rPr>
                <w:sz w:val="19"/>
              </w:rPr>
              <w:t>roles.php + capabilities.php</w:t>
            </w:r>
          </w:p>
        </w:tc>
        <w:tc>
          <w:tcPr>
            <w:tcW w:w="6192" w:type="dxa"/>
          </w:tcPr>
          <w:p w14:paraId="5E168232" w14:textId="77777777" w:rsidR="00085E1F" w:rsidRDefault="00000000">
            <w:r>
              <w:rPr>
                <w:sz w:val="19"/>
              </w:rPr>
              <w:t>Register custom roles and capability map</w:t>
            </w:r>
          </w:p>
        </w:tc>
      </w:tr>
      <w:tr w:rsidR="00085E1F" w14:paraId="310748AF" w14:textId="77777777">
        <w:tc>
          <w:tcPr>
            <w:tcW w:w="3312" w:type="dxa"/>
          </w:tcPr>
          <w:p w14:paraId="7488669D" w14:textId="77777777" w:rsidR="00085E1F" w:rsidRDefault="00000000">
            <w:r>
              <w:rPr>
                <w:sz w:val="19"/>
              </w:rPr>
              <w:t>post-types.php + taxonomies.php</w:t>
            </w:r>
          </w:p>
        </w:tc>
        <w:tc>
          <w:tcPr>
            <w:tcW w:w="6192" w:type="dxa"/>
          </w:tcPr>
          <w:p w14:paraId="2FD59D7B" w14:textId="77777777" w:rsidR="00085E1F" w:rsidRDefault="00000000">
            <w:r>
              <w:rPr>
                <w:sz w:val="19"/>
              </w:rPr>
              <w:t>Register canonical CPTs and taxonomy</w:t>
            </w:r>
          </w:p>
        </w:tc>
      </w:tr>
      <w:tr w:rsidR="00085E1F" w14:paraId="77478B5D" w14:textId="77777777">
        <w:tc>
          <w:tcPr>
            <w:tcW w:w="3312" w:type="dxa"/>
          </w:tcPr>
          <w:p w14:paraId="7F7C229C" w14:textId="77777777" w:rsidR="00085E1F" w:rsidRDefault="00000000">
            <w:r>
              <w:rPr>
                <w:sz w:val="19"/>
              </w:rPr>
              <w:lastRenderedPageBreak/>
              <w:t>meta-registration.php</w:t>
            </w:r>
          </w:p>
        </w:tc>
        <w:tc>
          <w:tcPr>
            <w:tcW w:w="6192" w:type="dxa"/>
          </w:tcPr>
          <w:p w14:paraId="5848ADFC" w14:textId="77777777" w:rsidR="00085E1F" w:rsidRDefault="00000000">
            <w:r>
              <w:rPr>
                <w:sz w:val="19"/>
              </w:rPr>
              <w:t>Register canonical meta keys and validation</w:t>
            </w:r>
          </w:p>
        </w:tc>
      </w:tr>
      <w:tr w:rsidR="00085E1F" w14:paraId="52209C4F" w14:textId="77777777">
        <w:tc>
          <w:tcPr>
            <w:tcW w:w="3312" w:type="dxa"/>
          </w:tcPr>
          <w:p w14:paraId="0EBA616E" w14:textId="77777777" w:rsidR="00085E1F" w:rsidRDefault="00000000">
            <w:r>
              <w:rPr>
                <w:sz w:val="19"/>
              </w:rPr>
              <w:t>auth-google.php + onboarding.php</w:t>
            </w:r>
          </w:p>
        </w:tc>
        <w:tc>
          <w:tcPr>
            <w:tcW w:w="6192" w:type="dxa"/>
          </w:tcPr>
          <w:p w14:paraId="1F3868FE" w14:textId="77777777" w:rsidR="00085E1F" w:rsidRDefault="00000000">
            <w:r>
              <w:rPr>
                <w:sz w:val="19"/>
              </w:rPr>
              <w:t>Handle Google sign-in, approval, onboarding, and district restrictions</w:t>
            </w:r>
          </w:p>
        </w:tc>
      </w:tr>
      <w:tr w:rsidR="00085E1F" w14:paraId="661F3329" w14:textId="77777777">
        <w:tc>
          <w:tcPr>
            <w:tcW w:w="3312" w:type="dxa"/>
          </w:tcPr>
          <w:p w14:paraId="481959D7" w14:textId="77777777" w:rsidR="00085E1F" w:rsidRDefault="00000000">
            <w:r>
              <w:rPr>
                <w:sz w:val="19"/>
              </w:rPr>
              <w:t>conferences.php</w:t>
            </w:r>
          </w:p>
        </w:tc>
        <w:tc>
          <w:tcPr>
            <w:tcW w:w="6192" w:type="dxa"/>
          </w:tcPr>
          <w:p w14:paraId="0F987077" w14:textId="77777777" w:rsidR="00085E1F" w:rsidRDefault="00000000">
            <w:r>
              <w:rPr>
                <w:sz w:val="19"/>
              </w:rPr>
              <w:t>Conference model, page linkage, and group flag resolution</w:t>
            </w:r>
          </w:p>
        </w:tc>
      </w:tr>
      <w:tr w:rsidR="00085E1F" w14:paraId="7E369021" w14:textId="77777777">
        <w:tc>
          <w:tcPr>
            <w:tcW w:w="3312" w:type="dxa"/>
          </w:tcPr>
          <w:p w14:paraId="55FA92FF" w14:textId="77777777" w:rsidR="00085E1F" w:rsidRDefault="00000000">
            <w:r>
              <w:rPr>
                <w:sz w:val="19"/>
              </w:rPr>
              <w:t>targeting-resolver.php</w:t>
            </w:r>
          </w:p>
        </w:tc>
        <w:tc>
          <w:tcPr>
            <w:tcW w:w="6192" w:type="dxa"/>
          </w:tcPr>
          <w:p w14:paraId="08E61815" w14:textId="77777777" w:rsidR="00085E1F" w:rsidRDefault="00000000">
            <w:r>
              <w:rPr>
                <w:sz w:val="19"/>
              </w:rPr>
              <w:t>Central allow/deny logic</w:t>
            </w:r>
          </w:p>
        </w:tc>
      </w:tr>
      <w:tr w:rsidR="00085E1F" w14:paraId="20FEF65D" w14:textId="77777777">
        <w:tc>
          <w:tcPr>
            <w:tcW w:w="3312" w:type="dxa"/>
          </w:tcPr>
          <w:p w14:paraId="0E442C2A" w14:textId="77777777" w:rsidR="00085E1F" w:rsidRDefault="00000000">
            <w:r>
              <w:rPr>
                <w:sz w:val="19"/>
              </w:rPr>
              <w:t>dashboard-query.php + dashboard-renderer.php</w:t>
            </w:r>
          </w:p>
        </w:tc>
        <w:tc>
          <w:tcPr>
            <w:tcW w:w="6192" w:type="dxa"/>
          </w:tcPr>
          <w:p w14:paraId="685F0991" w14:textId="77777777" w:rsidR="00085E1F" w:rsidRDefault="00000000">
            <w:r>
              <w:rPr>
                <w:sz w:val="19"/>
              </w:rPr>
              <w:t>Assemble visible portal sections</w:t>
            </w:r>
          </w:p>
        </w:tc>
      </w:tr>
      <w:tr w:rsidR="00085E1F" w14:paraId="02A7393F" w14:textId="77777777">
        <w:tc>
          <w:tcPr>
            <w:tcW w:w="3312" w:type="dxa"/>
          </w:tcPr>
          <w:p w14:paraId="703E1CD5" w14:textId="77777777" w:rsidR="00085E1F" w:rsidRDefault="00000000">
            <w:r>
              <w:rPr>
                <w:sz w:val="19"/>
              </w:rPr>
              <w:t>documents.php</w:t>
            </w:r>
          </w:p>
        </w:tc>
        <w:tc>
          <w:tcPr>
            <w:tcW w:w="6192" w:type="dxa"/>
          </w:tcPr>
          <w:p w14:paraId="19E5096C" w14:textId="77777777" w:rsidR="00085E1F" w:rsidRDefault="00000000">
            <w:r>
              <w:rPr>
                <w:sz w:val="19"/>
              </w:rPr>
              <w:t>Document detail, preview, download, and protected delivery</w:t>
            </w:r>
          </w:p>
        </w:tc>
      </w:tr>
      <w:tr w:rsidR="00085E1F" w14:paraId="413A989B" w14:textId="77777777">
        <w:tc>
          <w:tcPr>
            <w:tcW w:w="3312" w:type="dxa"/>
          </w:tcPr>
          <w:p w14:paraId="644BE486" w14:textId="77777777" w:rsidR="00085E1F" w:rsidRDefault="00000000">
            <w:r>
              <w:rPr>
                <w:sz w:val="19"/>
              </w:rPr>
              <w:t>events.php + calendar-ics.php</w:t>
            </w:r>
          </w:p>
        </w:tc>
        <w:tc>
          <w:tcPr>
            <w:tcW w:w="6192" w:type="dxa"/>
          </w:tcPr>
          <w:p w14:paraId="4E8AE330" w14:textId="77777777" w:rsidR="00085E1F" w:rsidRDefault="00000000">
            <w:r>
              <w:rPr>
                <w:sz w:val="19"/>
              </w:rPr>
              <w:t>Events, meeting packets, Google Calendar link generation, ICS feed output</w:t>
            </w:r>
          </w:p>
        </w:tc>
      </w:tr>
      <w:tr w:rsidR="00085E1F" w14:paraId="5D739B7C" w14:textId="77777777">
        <w:tc>
          <w:tcPr>
            <w:tcW w:w="3312" w:type="dxa"/>
          </w:tcPr>
          <w:p w14:paraId="7FFD48EC" w14:textId="77777777" w:rsidR="00085E1F" w:rsidRDefault="00000000">
            <w:r>
              <w:rPr>
                <w:sz w:val="19"/>
              </w:rPr>
              <w:t>routes.php</w:t>
            </w:r>
          </w:p>
        </w:tc>
        <w:tc>
          <w:tcPr>
            <w:tcW w:w="6192" w:type="dxa"/>
          </w:tcPr>
          <w:p w14:paraId="32E3850A" w14:textId="77777777" w:rsidR="00085E1F" w:rsidRDefault="00000000">
            <w:r>
              <w:rPr>
                <w:sz w:val="19"/>
              </w:rPr>
              <w:t>Front-end route mapping and endpoint security</w:t>
            </w:r>
          </w:p>
        </w:tc>
      </w:tr>
    </w:tbl>
    <w:p w14:paraId="3720CF7F" w14:textId="77777777" w:rsidR="00085E1F" w:rsidRDefault="00085E1F"/>
    <w:p w14:paraId="00C500C0" w14:textId="77777777" w:rsidR="00085E1F" w:rsidRDefault="00000000">
      <w:pPr>
        <w:pStyle w:val="Heading1"/>
      </w:pPr>
      <w:r>
        <w:t>5. Admin Workflows</w:t>
      </w:r>
    </w:p>
    <w:p w14:paraId="20BA6F6A" w14:textId="77777777" w:rsidR="00085E1F" w:rsidRDefault="00000000">
      <w:pPr>
        <w:pStyle w:val="Heading2"/>
      </w:pPr>
      <w:r>
        <w:t>User Approval</w:t>
      </w:r>
    </w:p>
    <w:p w14:paraId="2B50E8B0" w14:textId="77777777" w:rsidR="00085E1F" w:rsidRDefault="00000000">
      <w:pPr>
        <w:pStyle w:val="ListBullet"/>
      </w:pPr>
      <w:r>
        <w:t>Pending user appears in Users &amp; Approvals.</w:t>
      </w:r>
    </w:p>
    <w:p w14:paraId="59FB693C" w14:textId="77777777" w:rsidR="00085E1F" w:rsidRDefault="00000000">
      <w:pPr>
        <w:pStyle w:val="ListBullet"/>
      </w:pPr>
      <w:r>
        <w:t>District admin reviews identity, assigns scope, conference if applicable, and role profiles.</w:t>
      </w:r>
    </w:p>
    <w:p w14:paraId="1D011B52" w14:textId="77777777" w:rsidR="00085E1F" w:rsidRDefault="00000000">
      <w:pPr>
        <w:pStyle w:val="ListBullet"/>
      </w:pPr>
      <w:r>
        <w:t>District is never self-selectable.</w:t>
      </w:r>
    </w:p>
    <w:p w14:paraId="4E81E5F7" w14:textId="77777777" w:rsidR="00085E1F" w:rsidRDefault="00000000">
      <w:pPr>
        <w:pStyle w:val="Heading2"/>
      </w:pPr>
      <w:r>
        <w:t>Announcement Publishing</w:t>
      </w:r>
    </w:p>
    <w:p w14:paraId="68601204" w14:textId="77777777" w:rsidR="00085E1F" w:rsidRDefault="00000000">
      <w:pPr>
        <w:pStyle w:val="ListBullet"/>
      </w:pPr>
      <w:r>
        <w:t>District-authorized editor creates a post, targets audience and conference set, sets schedule, and publishes.</w:t>
      </w:r>
    </w:p>
    <w:p w14:paraId="48A002C3" w14:textId="77777777" w:rsidR="00085E1F" w:rsidRDefault="00000000">
      <w:pPr>
        <w:pStyle w:val="ListBullet"/>
      </w:pPr>
      <w:r>
        <w:t>Placement options determine banner, card, or What’s New output.</w:t>
      </w:r>
    </w:p>
    <w:p w14:paraId="3D96CE7A" w14:textId="77777777" w:rsidR="00085E1F" w:rsidRDefault="00000000">
      <w:pPr>
        <w:pStyle w:val="Heading2"/>
      </w:pPr>
      <w:r>
        <w:t>Document Curation</w:t>
      </w:r>
    </w:p>
    <w:p w14:paraId="5D7BFDC7" w14:textId="77777777" w:rsidR="00085E1F" w:rsidRDefault="00000000">
      <w:pPr>
        <w:pStyle w:val="ListBullet"/>
      </w:pPr>
      <w:r>
        <w:t>Document record is created or imported, categorized, targeted, and published.</w:t>
      </w:r>
    </w:p>
    <w:p w14:paraId="78C3A4DD" w14:textId="77777777" w:rsidR="00085E1F" w:rsidRDefault="00000000">
      <w:pPr>
        <w:pStyle w:val="ListBullet"/>
      </w:pPr>
      <w:r>
        <w:t>Preview type and plain-language summary are set before user-facing publication.</w:t>
      </w:r>
    </w:p>
    <w:p w14:paraId="0498AFDE" w14:textId="77777777" w:rsidR="00085E1F" w:rsidRDefault="00000000">
      <w:pPr>
        <w:pStyle w:val="Heading2"/>
      </w:pPr>
      <w:r>
        <w:t>Event Publishing</w:t>
      </w:r>
    </w:p>
    <w:p w14:paraId="709F9B9B" w14:textId="77777777" w:rsidR="00085E1F" w:rsidRDefault="00000000">
      <w:pPr>
        <w:pStyle w:val="ListBullet"/>
      </w:pPr>
      <w:r>
        <w:t>District editor creates event, sets date/time/location, targets audience and conferences, attaches meeting packet docs, enables calendar export, and publishes.</w:t>
      </w:r>
    </w:p>
    <w:p w14:paraId="36217FD9" w14:textId="77777777" w:rsidR="00085E1F" w:rsidRDefault="00000000">
      <w:pPr>
        <w:pStyle w:val="Heading1"/>
      </w:pPr>
      <w:r>
        <w:t>6. GitHub Issue Breakdown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7056"/>
      </w:tblGrid>
      <w:tr w:rsidR="00085E1F" w14:paraId="69C7D900" w14:textId="77777777">
        <w:tc>
          <w:tcPr>
            <w:tcW w:w="4968" w:type="dxa"/>
            <w:shd w:val="clear" w:color="auto" w:fill="DCE6F1"/>
          </w:tcPr>
          <w:p w14:paraId="3E3268F2" w14:textId="77777777" w:rsidR="00085E1F" w:rsidRDefault="00000000">
            <w:r>
              <w:rPr>
                <w:b/>
                <w:sz w:val="19"/>
              </w:rPr>
              <w:t>Epic</w:t>
            </w:r>
          </w:p>
        </w:tc>
        <w:tc>
          <w:tcPr>
            <w:tcW w:w="4968" w:type="dxa"/>
            <w:shd w:val="clear" w:color="auto" w:fill="DCE6F1"/>
          </w:tcPr>
          <w:p w14:paraId="2EF0DFD6" w14:textId="77777777" w:rsidR="00085E1F" w:rsidRDefault="00000000">
            <w:r>
              <w:rPr>
                <w:b/>
                <w:sz w:val="19"/>
              </w:rPr>
              <w:t>Initial Issue Buckets</w:t>
            </w:r>
          </w:p>
        </w:tc>
      </w:tr>
      <w:tr w:rsidR="00085E1F" w14:paraId="046E121E" w14:textId="77777777">
        <w:tc>
          <w:tcPr>
            <w:tcW w:w="2448" w:type="dxa"/>
          </w:tcPr>
          <w:p w14:paraId="32DCC10C" w14:textId="77777777" w:rsidR="00085E1F" w:rsidRDefault="00000000">
            <w:r>
              <w:rPr>
                <w:sz w:val="19"/>
              </w:rPr>
              <w:t>Foundation</w:t>
            </w:r>
          </w:p>
        </w:tc>
        <w:tc>
          <w:tcPr>
            <w:tcW w:w="7056" w:type="dxa"/>
          </w:tcPr>
          <w:p w14:paraId="59E6C05A" w14:textId="77777777" w:rsidR="00085E1F" w:rsidRDefault="00000000">
            <w:r>
              <w:rPr>
                <w:sz w:val="19"/>
              </w:rPr>
              <w:t>Plugin bootstrap; roles/capabilities; CPTs; taxonomy; settings skeleton</w:t>
            </w:r>
          </w:p>
        </w:tc>
      </w:tr>
      <w:tr w:rsidR="00085E1F" w14:paraId="2A433850" w14:textId="77777777">
        <w:tc>
          <w:tcPr>
            <w:tcW w:w="2448" w:type="dxa"/>
          </w:tcPr>
          <w:p w14:paraId="0DB9BF13" w14:textId="77777777" w:rsidR="00085E1F" w:rsidRDefault="00000000">
            <w:r>
              <w:rPr>
                <w:sz w:val="19"/>
              </w:rPr>
              <w:t>Authentication</w:t>
            </w:r>
          </w:p>
        </w:tc>
        <w:tc>
          <w:tcPr>
            <w:tcW w:w="7056" w:type="dxa"/>
          </w:tcPr>
          <w:p w14:paraId="29E3FBE5" w14:textId="77777777" w:rsidR="00085E1F" w:rsidRDefault="00000000">
            <w:r>
              <w:rPr>
                <w:sz w:val="19"/>
              </w:rPr>
              <w:t>Google Sign-In flow; trusted directory; approved domains; onboarding</w:t>
            </w:r>
          </w:p>
        </w:tc>
      </w:tr>
      <w:tr w:rsidR="00085E1F" w14:paraId="10474297" w14:textId="77777777">
        <w:tc>
          <w:tcPr>
            <w:tcW w:w="2448" w:type="dxa"/>
          </w:tcPr>
          <w:p w14:paraId="6FD430C6" w14:textId="77777777" w:rsidR="00085E1F" w:rsidRDefault="00000000">
            <w:r>
              <w:rPr>
                <w:sz w:val="19"/>
              </w:rPr>
              <w:t>Conferences</w:t>
            </w:r>
          </w:p>
        </w:tc>
        <w:tc>
          <w:tcPr>
            <w:tcW w:w="7056" w:type="dxa"/>
          </w:tcPr>
          <w:p w14:paraId="3A60025B" w14:textId="77777777" w:rsidR="00085E1F" w:rsidRDefault="00000000">
            <w:r>
              <w:rPr>
                <w:sz w:val="19"/>
              </w:rPr>
              <w:t>Conference CPT; linked page mapping; group flag model</w:t>
            </w:r>
          </w:p>
        </w:tc>
      </w:tr>
      <w:tr w:rsidR="00085E1F" w14:paraId="5487DDB9" w14:textId="77777777">
        <w:tc>
          <w:tcPr>
            <w:tcW w:w="2448" w:type="dxa"/>
          </w:tcPr>
          <w:p w14:paraId="18D2530E" w14:textId="77777777" w:rsidR="00085E1F" w:rsidRDefault="00000000">
            <w:r>
              <w:rPr>
                <w:sz w:val="19"/>
              </w:rPr>
              <w:t>Targeting Engine</w:t>
            </w:r>
          </w:p>
        </w:tc>
        <w:tc>
          <w:tcPr>
            <w:tcW w:w="7056" w:type="dxa"/>
          </w:tcPr>
          <w:p w14:paraId="57C8FC67" w14:textId="77777777" w:rsidR="00085E1F" w:rsidRDefault="00000000">
            <w:r>
              <w:rPr>
                <w:sz w:val="19"/>
              </w:rPr>
              <w:t>User context resolver; object targeting resolver; tests</w:t>
            </w:r>
          </w:p>
        </w:tc>
      </w:tr>
      <w:tr w:rsidR="00085E1F" w14:paraId="6D855CCD" w14:textId="77777777">
        <w:tc>
          <w:tcPr>
            <w:tcW w:w="2448" w:type="dxa"/>
          </w:tcPr>
          <w:p w14:paraId="7B51E808" w14:textId="77777777" w:rsidR="00085E1F" w:rsidRDefault="00000000">
            <w:r>
              <w:rPr>
                <w:sz w:val="19"/>
              </w:rPr>
              <w:t>Dashboard</w:t>
            </w:r>
          </w:p>
        </w:tc>
        <w:tc>
          <w:tcPr>
            <w:tcW w:w="7056" w:type="dxa"/>
          </w:tcPr>
          <w:p w14:paraId="103F7558" w14:textId="77777777" w:rsidR="00085E1F" w:rsidRDefault="00000000">
            <w:r>
              <w:rPr>
                <w:sz w:val="19"/>
              </w:rPr>
              <w:t>Conference page interception; district dashboard; dashboard query and rendering</w:t>
            </w:r>
          </w:p>
        </w:tc>
      </w:tr>
      <w:tr w:rsidR="00085E1F" w14:paraId="01CF4D26" w14:textId="77777777">
        <w:tc>
          <w:tcPr>
            <w:tcW w:w="2448" w:type="dxa"/>
          </w:tcPr>
          <w:p w14:paraId="30460847" w14:textId="77777777" w:rsidR="00085E1F" w:rsidRDefault="00000000">
            <w:r>
              <w:rPr>
                <w:sz w:val="19"/>
              </w:rPr>
              <w:t>Announcements</w:t>
            </w:r>
          </w:p>
        </w:tc>
        <w:tc>
          <w:tcPr>
            <w:tcW w:w="7056" w:type="dxa"/>
          </w:tcPr>
          <w:p w14:paraId="09B8638A" w14:textId="77777777" w:rsidR="00085E1F" w:rsidRDefault="00000000">
            <w:r>
              <w:rPr>
                <w:sz w:val="19"/>
              </w:rPr>
              <w:t>Announcement CPT UI; placement rendering; schedule logic</w:t>
            </w:r>
          </w:p>
        </w:tc>
      </w:tr>
      <w:tr w:rsidR="00085E1F" w14:paraId="3C6BFE9E" w14:textId="77777777">
        <w:tc>
          <w:tcPr>
            <w:tcW w:w="2448" w:type="dxa"/>
          </w:tcPr>
          <w:p w14:paraId="08CF5E22" w14:textId="77777777" w:rsidR="00085E1F" w:rsidRDefault="00000000">
            <w:r>
              <w:rPr>
                <w:sz w:val="19"/>
              </w:rPr>
              <w:t>Documents</w:t>
            </w:r>
          </w:p>
        </w:tc>
        <w:tc>
          <w:tcPr>
            <w:tcW w:w="7056" w:type="dxa"/>
          </w:tcPr>
          <w:p w14:paraId="165B0218" w14:textId="77777777" w:rsidR="00085E1F" w:rsidRDefault="00000000">
            <w:r>
              <w:rPr>
                <w:sz w:val="19"/>
              </w:rPr>
              <w:t>Document CPT; protected detail/download; Drive curation foundation</w:t>
            </w:r>
          </w:p>
        </w:tc>
      </w:tr>
      <w:tr w:rsidR="00085E1F" w14:paraId="4C9B793E" w14:textId="77777777">
        <w:tc>
          <w:tcPr>
            <w:tcW w:w="2448" w:type="dxa"/>
          </w:tcPr>
          <w:p w14:paraId="1613CEED" w14:textId="77777777" w:rsidR="00085E1F" w:rsidRDefault="00000000">
            <w:r>
              <w:rPr>
                <w:sz w:val="19"/>
              </w:rPr>
              <w:t>Events</w:t>
            </w:r>
          </w:p>
        </w:tc>
        <w:tc>
          <w:tcPr>
            <w:tcW w:w="7056" w:type="dxa"/>
          </w:tcPr>
          <w:p w14:paraId="10F61BF6" w14:textId="77777777" w:rsidR="00085E1F" w:rsidRDefault="00000000">
            <w:r>
              <w:rPr>
                <w:sz w:val="19"/>
              </w:rPr>
              <w:t>Event CPT; detail pages; meeting packet relationships; ICS feed; single-event export</w:t>
            </w:r>
          </w:p>
        </w:tc>
      </w:tr>
      <w:tr w:rsidR="00085E1F" w14:paraId="352D0F8F" w14:textId="77777777">
        <w:tc>
          <w:tcPr>
            <w:tcW w:w="2448" w:type="dxa"/>
          </w:tcPr>
          <w:p w14:paraId="0387274E" w14:textId="77777777" w:rsidR="00085E1F" w:rsidRDefault="00000000">
            <w:r>
              <w:rPr>
                <w:sz w:val="19"/>
              </w:rPr>
              <w:lastRenderedPageBreak/>
              <w:t>Search</w:t>
            </w:r>
          </w:p>
        </w:tc>
        <w:tc>
          <w:tcPr>
            <w:tcW w:w="7056" w:type="dxa"/>
          </w:tcPr>
          <w:p w14:paraId="72FB7E66" w14:textId="77777777" w:rsidR="00085E1F" w:rsidRDefault="00000000">
            <w:r>
              <w:rPr>
                <w:sz w:val="19"/>
              </w:rPr>
              <w:t>Visible-content search across items, announcements, documents, and events</w:t>
            </w:r>
          </w:p>
        </w:tc>
      </w:tr>
      <w:tr w:rsidR="00085E1F" w14:paraId="3AD7C297" w14:textId="77777777">
        <w:tc>
          <w:tcPr>
            <w:tcW w:w="2448" w:type="dxa"/>
          </w:tcPr>
          <w:p w14:paraId="1CBAA835" w14:textId="77777777" w:rsidR="00085E1F" w:rsidRDefault="00000000">
            <w:r>
              <w:rPr>
                <w:sz w:val="19"/>
              </w:rPr>
              <w:t>QA and Accessibility</w:t>
            </w:r>
          </w:p>
        </w:tc>
        <w:tc>
          <w:tcPr>
            <w:tcW w:w="7056" w:type="dxa"/>
          </w:tcPr>
          <w:p w14:paraId="3FD3C921" w14:textId="77777777" w:rsidR="00085E1F" w:rsidRDefault="00000000">
            <w:r>
              <w:rPr>
                <w:sz w:val="19"/>
              </w:rPr>
              <w:t>Role-based test coverage; route security; mobile-first pass; older-user usability check</w:t>
            </w:r>
          </w:p>
        </w:tc>
      </w:tr>
    </w:tbl>
    <w:p w14:paraId="0250FF43" w14:textId="77777777" w:rsidR="00085E1F" w:rsidRDefault="00085E1F"/>
    <w:p w14:paraId="785D7019" w14:textId="77777777" w:rsidR="00085E1F" w:rsidRDefault="00000000">
      <w:pPr>
        <w:pStyle w:val="Heading1"/>
      </w:pPr>
      <w:r>
        <w:t>7. Acceptance Standard</w:t>
      </w:r>
    </w:p>
    <w:p w14:paraId="33A26938" w14:textId="77777777" w:rsidR="00085E1F" w:rsidRDefault="00000000">
      <w:pPr>
        <w:pStyle w:val="ListBullet"/>
      </w:pPr>
      <w:r>
        <w:t>No schema drift from contract-locked keys.</w:t>
      </w:r>
    </w:p>
    <w:p w14:paraId="78AB5697" w14:textId="77777777" w:rsidR="00085E1F" w:rsidRDefault="00000000">
      <w:pPr>
        <w:pStyle w:val="ListBullet"/>
      </w:pPr>
      <w:r>
        <w:t>No unauthorized content exposure through pages, downloads, or feeds.</w:t>
      </w:r>
    </w:p>
    <w:p w14:paraId="6025E979" w14:textId="77777777" w:rsidR="00085E1F" w:rsidRDefault="00000000">
      <w:pPr>
        <w:pStyle w:val="ListBullet"/>
      </w:pPr>
      <w:r>
        <w:t>Current theme remains visually recognizable.</w:t>
      </w:r>
    </w:p>
    <w:p w14:paraId="297AA225" w14:textId="77777777" w:rsidR="00085E1F" w:rsidRDefault="00000000">
      <w:pPr>
        <w:pStyle w:val="ListBullet"/>
      </w:pPr>
      <w:r>
        <w:t>Mobile-first rendering is clear, low-friction, and usable with large tap targets and strong typography.</w:t>
      </w:r>
    </w:p>
    <w:p w14:paraId="60AB4174" w14:textId="77777777" w:rsidR="00085E1F" w:rsidRDefault="00000000">
      <w:pPr>
        <w:pStyle w:val="ListBullet"/>
      </w:pPr>
      <w:r>
        <w:t>Event and document detail pages behave predictably and do not dump users into external file-system views.</w:t>
      </w:r>
    </w:p>
    <w:sectPr w:rsidR="00085E1F" w:rsidSect="00034616">
      <w:headerReference w:type="default" r:id="rId8"/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EAA44" w14:textId="77777777" w:rsidR="00A07E42" w:rsidRDefault="00A07E42">
      <w:pPr>
        <w:spacing w:after="0" w:line="240" w:lineRule="auto"/>
      </w:pPr>
      <w:r>
        <w:separator/>
      </w:r>
    </w:p>
  </w:endnote>
  <w:endnote w:type="continuationSeparator" w:id="0">
    <w:p w14:paraId="51ADF3F1" w14:textId="77777777" w:rsidR="00A07E42" w:rsidRDefault="00A07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DC5AA" w14:textId="77777777" w:rsidR="00085E1F" w:rsidRDefault="00000000">
    <w:pPr>
      <w:pStyle w:val="Footer"/>
    </w:pPr>
    <w:r>
      <w:rPr>
        <w:color w:val="646464"/>
        <w:sz w:val="17"/>
      </w:rPr>
      <w:t>Technical Handoff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CD109" w14:textId="77777777" w:rsidR="00A07E42" w:rsidRDefault="00A07E42">
      <w:pPr>
        <w:spacing w:after="0" w:line="240" w:lineRule="auto"/>
      </w:pPr>
      <w:r>
        <w:separator/>
      </w:r>
    </w:p>
  </w:footnote>
  <w:footnote w:type="continuationSeparator" w:id="0">
    <w:p w14:paraId="323583A9" w14:textId="77777777" w:rsidR="00A07E42" w:rsidRDefault="00A07E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383EB" w14:textId="6483FD39" w:rsidR="00085E1F" w:rsidRDefault="005F4BC1">
    <w:pPr>
      <w:pStyle w:val="Header"/>
      <w:jc w:val="right"/>
    </w:pPr>
    <w:r>
      <w:rPr>
        <w:b/>
        <w:color w:val="18426E"/>
        <w:sz w:val="18"/>
      </w:rPr>
      <w:t>Vincentian Hub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755638">
    <w:abstractNumId w:val="8"/>
  </w:num>
  <w:num w:numId="2" w16cid:durableId="129977684">
    <w:abstractNumId w:val="6"/>
  </w:num>
  <w:num w:numId="3" w16cid:durableId="1244223301">
    <w:abstractNumId w:val="5"/>
  </w:num>
  <w:num w:numId="4" w16cid:durableId="1989089166">
    <w:abstractNumId w:val="4"/>
  </w:num>
  <w:num w:numId="5" w16cid:durableId="1522209203">
    <w:abstractNumId w:val="7"/>
  </w:num>
  <w:num w:numId="6" w16cid:durableId="790630092">
    <w:abstractNumId w:val="3"/>
  </w:num>
  <w:num w:numId="7" w16cid:durableId="1770931641">
    <w:abstractNumId w:val="2"/>
  </w:num>
  <w:num w:numId="8" w16cid:durableId="3633977">
    <w:abstractNumId w:val="1"/>
  </w:num>
  <w:num w:numId="9" w16cid:durableId="1826817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E1F"/>
    <w:rsid w:val="00147DF6"/>
    <w:rsid w:val="0015074B"/>
    <w:rsid w:val="0029639D"/>
    <w:rsid w:val="00326F90"/>
    <w:rsid w:val="005F4BC1"/>
    <w:rsid w:val="00A07E4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9FCE17"/>
  <w14:defaultImageDpi w14:val="300"/>
  <w15:docId w15:val="{2C988B9B-21FA-2E49-BC7E-609BB193A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42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54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646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8426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581</Words>
  <Characters>4097</Characters>
  <Application>Microsoft Office Word</Application>
  <DocSecurity>0</DocSecurity>
  <Lines>102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Jeremiah Otis</cp:lastModifiedBy>
  <cp:revision>2</cp:revision>
  <dcterms:created xsi:type="dcterms:W3CDTF">2013-12-23T23:15:00Z</dcterms:created>
  <dcterms:modified xsi:type="dcterms:W3CDTF">2026-03-12T13:29:00Z</dcterms:modified>
  <cp:category/>
</cp:coreProperties>
</file>