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3AD71FD2"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3AD71FD2"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3AD71FD2" w:rsidRDefault="00B7788F" w14:paraId="2819F8C6" w14:textId="78060BB8">
            <w:pPr>
              <w:pStyle w:val="Normal"/>
              <w:suppressLineNumbers w:val="0"/>
              <w:bidi w:val="0"/>
              <w:spacing w:before="0" w:beforeAutospacing="off" w:after="0" w:afterAutospacing="off" w:line="259" w:lineRule="auto"/>
              <w:ind w:left="0" w:right="0"/>
              <w:jc w:val="center"/>
            </w:pPr>
            <w:r w:rsidRPr="3AD71FD2" w:rsidR="37481265">
              <w:rPr>
                <w:rFonts w:eastAsia="Times New Roman" w:cs="Calibri" w:cstheme="minorAscii"/>
                <w:b w:val="1"/>
                <w:bCs w:val="1"/>
                <w:sz w:val="22"/>
                <w:szCs w:val="22"/>
              </w:rPr>
              <w:t>12/15/2024</w:t>
            </w:r>
          </w:p>
        </w:tc>
        <w:tc>
          <w:tcPr>
            <w:tcW w:w="2338" w:type="dxa"/>
            <w:tcMar>
              <w:left w:w="115" w:type="dxa"/>
              <w:right w:w="115" w:type="dxa"/>
            </w:tcMar>
          </w:tcPr>
          <w:p w:rsidRPr="00B7788F" w:rsidR="00531FBF" w:rsidP="3AD71FD2" w:rsidRDefault="00B7788F" w14:paraId="07699096" w14:textId="52926C87">
            <w:pPr>
              <w:spacing/>
              <w:contextualSpacing/>
              <w:jc w:val="center"/>
              <w:rPr>
                <w:rFonts w:eastAsia="Times New Roman" w:cs="Calibri" w:cstheme="minorAscii"/>
                <w:b w:val="1"/>
                <w:bCs w:val="1"/>
                <w:sz w:val="22"/>
                <w:szCs w:val="22"/>
              </w:rPr>
            </w:pPr>
            <w:r w:rsidRPr="3AD71FD2" w:rsidR="37481265">
              <w:rPr>
                <w:rFonts w:eastAsia="Times New Roman" w:cs="Calibri" w:cstheme="minorAscii"/>
                <w:b w:val="1"/>
                <w:bCs w:val="1"/>
                <w:sz w:val="22"/>
                <w:szCs w:val="22"/>
              </w:rPr>
              <w:t>Jeremy Brown</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00352FD0">
        <w:rPr/>
        <w:t>Developer</w:t>
      </w:r>
      <w:bookmarkEnd w:id="12"/>
      <w:bookmarkEnd w:id="13"/>
      <w:bookmarkEnd w:id="14"/>
    </w:p>
    <w:p w:rsidR="27C39E9B" w:rsidP="3AD71FD2" w:rsidRDefault="27C39E9B" w14:paraId="6E8622BD" w14:textId="672A44F6">
      <w:pPr>
        <w:pStyle w:val="Normal"/>
        <w:suppressLineNumbers w:val="0"/>
        <w:bidi w:val="0"/>
        <w:spacing w:before="0" w:beforeAutospacing="off" w:after="0" w:afterAutospacing="off" w:line="259" w:lineRule="auto"/>
        <w:ind w:left="0" w:right="0"/>
        <w:jc w:val="left"/>
      </w:pPr>
      <w:r w:rsidRPr="3AD71FD2" w:rsidR="27C39E9B">
        <w:rPr>
          <w:rFonts w:cs="Calibri" w:cstheme="minorAscii"/>
          <w:sz w:val="22"/>
          <w:szCs w:val="22"/>
        </w:rPr>
        <w:t>Jeremy Brown</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pPr>
      <w:bookmarkStart w:name="_Toc361528762" w:id="15"/>
      <w:bookmarkStart w:name="_Toc1441383079" w:id="16"/>
      <w:bookmarkStart w:name="_Toc102040758" w:id="17"/>
      <w:r w:rsidRPr="00B7788F">
        <w:t>Algorithm Cipher</w:t>
      </w:r>
      <w:bookmarkEnd w:id="15"/>
      <w:bookmarkEnd w:id="16"/>
      <w:bookmarkEnd w:id="17"/>
    </w:p>
    <w:p w:rsidRPr="00B7788F" w:rsidR="00E4044A" w:rsidP="00D47759" w:rsidRDefault="00E4044A" w14:paraId="3C3C7792" w14:textId="77777777">
      <w:pPr>
        <w:contextualSpacing/>
        <w:rPr>
          <w:rFonts w:eastAsia="Times New Roman" w:cstheme="minorHAnsi"/>
          <w:sz w:val="22"/>
          <w:szCs w:val="22"/>
        </w:rPr>
      </w:pPr>
    </w:p>
    <w:p w:rsidR="69952E64" w:rsidP="3AD71FD2" w:rsidRDefault="69952E64" w14:paraId="42A3603E" w14:textId="5E3FF0B1">
      <w:pPr>
        <w:pStyle w:val="Normal"/>
        <w:suppressLineNumbers w:val="0"/>
        <w:bidi w:val="0"/>
        <w:spacing w:before="0" w:beforeAutospacing="off" w:after="0" w:afterAutospacing="off" w:line="259" w:lineRule="auto"/>
        <w:ind w:left="0" w:right="0" w:firstLine="720"/>
        <w:jc w:val="left"/>
        <w:rPr>
          <w:rFonts w:eastAsia="Times New Roman"/>
          <w:sz w:val="22"/>
          <w:szCs w:val="22"/>
        </w:rPr>
      </w:pPr>
      <w:r w:rsidRPr="3AD71FD2" w:rsidR="69952E64">
        <w:rPr>
          <w:rFonts w:eastAsia="Times New Roman"/>
          <w:sz w:val="22"/>
          <w:szCs w:val="22"/>
        </w:rPr>
        <w:t xml:space="preserve">The Advanced Encryption Standard (AES) is a symmetric encryption algorithm widely used for securing sensitive data. It </w:t>
      </w:r>
      <w:r w:rsidRPr="3AD71FD2" w:rsidR="69952E64">
        <w:rPr>
          <w:rFonts w:eastAsia="Times New Roman"/>
          <w:sz w:val="22"/>
          <w:szCs w:val="22"/>
        </w:rPr>
        <w:t>operates</w:t>
      </w:r>
      <w:r w:rsidRPr="3AD71FD2" w:rsidR="69952E64">
        <w:rPr>
          <w:rFonts w:eastAsia="Times New Roman"/>
          <w:sz w:val="22"/>
          <w:szCs w:val="22"/>
        </w:rPr>
        <w:t xml:space="preserve"> on fixed block sizes of 128 bits and supports key sizes of 128, 192, or 256 bits, with AES-256 being the most secure </w:t>
      </w:r>
      <w:r w:rsidRPr="3AD71FD2" w:rsidR="69952E64">
        <w:rPr>
          <w:rFonts w:eastAsia="Times New Roman"/>
          <w:sz w:val="22"/>
          <w:szCs w:val="22"/>
        </w:rPr>
        <w:t>option</w:t>
      </w:r>
      <w:r w:rsidRPr="3AD71FD2" w:rsidR="69952E64">
        <w:rPr>
          <w:rFonts w:eastAsia="Times New Roman"/>
          <w:sz w:val="22"/>
          <w:szCs w:val="22"/>
        </w:rPr>
        <w:t xml:space="preserve"> against brute-force attacks.</w:t>
      </w:r>
      <w:r w:rsidRPr="3AD71FD2" w:rsidR="0CD4B619">
        <w:rPr>
          <w:rFonts w:eastAsia="Times New Roman"/>
          <w:sz w:val="22"/>
          <w:szCs w:val="22"/>
        </w:rPr>
        <w:t xml:space="preserve"> AES ensures data confidentiality by transforming plaintext into ciphertext through a series of substitutions, permutations, and complex mathematical operations. When paired with cryptographic hash functions like SHA-256, AES enhances data integrity by generating unique checksums to verify the authenticity of transmitted data.</w:t>
      </w:r>
    </w:p>
    <w:p w:rsidR="0CD4B619" w:rsidP="3AD71FD2" w:rsidRDefault="0CD4B619" w14:paraId="677A5D59" w14:textId="7AC9F44D">
      <w:pPr>
        <w:pStyle w:val="Normal"/>
        <w:suppressLineNumbers w:val="0"/>
        <w:bidi w:val="0"/>
        <w:spacing w:before="0" w:beforeAutospacing="off" w:after="0" w:afterAutospacing="off" w:line="259" w:lineRule="auto"/>
        <w:ind w:left="0" w:right="0" w:firstLine="720"/>
        <w:jc w:val="left"/>
        <w:rPr>
          <w:rFonts w:eastAsia="Times New Roman"/>
          <w:sz w:val="22"/>
          <w:szCs w:val="22"/>
        </w:rPr>
      </w:pPr>
      <w:r w:rsidRPr="3AD71FD2" w:rsidR="0CD4B619">
        <w:rPr>
          <w:rFonts w:eastAsia="Times New Roman"/>
          <w:sz w:val="22"/>
          <w:szCs w:val="22"/>
        </w:rPr>
        <w:t>AES, developed by the National Institute of Standards and Technology (NIST) in 2001, replaced DES as the industry standard due to its efficiency and resilience to modern attacks. Today, AES is widely adopted across industries, including finance, healthcare, and government, and is considered robust even against emerging threats like quantum computing when using its 256-bit key implementation. This makes AES an ideal solution for Artemis Financial to secure client data and ensure the integrity of financial communications.</w:t>
      </w: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00D47759" w:rsidRDefault="003978A0" w14:paraId="6BEBCC74" w14:textId="77777777">
      <w:pPr>
        <w:contextualSpacing/>
        <w:rPr>
          <w:rFonts w:eastAsia="Times New Roman" w:cstheme="minorHAnsi"/>
          <w:sz w:val="22"/>
          <w:szCs w:val="22"/>
        </w:rPr>
      </w:pPr>
    </w:p>
    <w:p w:rsidR="698B4952" w:rsidP="3AD71FD2" w:rsidRDefault="698B4952" w14:paraId="4FD61512" w14:textId="440EC878">
      <w:pPr>
        <w:pStyle w:val="Normal"/>
        <w:spacing/>
        <w:contextualSpacing/>
      </w:pPr>
      <w:r w:rsidR="698B4952">
        <w:drawing>
          <wp:inline wp14:editId="751DFDFC" wp14:anchorId="0E0C3522">
            <wp:extent cx="4758418" cy="1708150"/>
            <wp:effectExtent l="0" t="0" r="0" b="0"/>
            <wp:docPr id="1045568182" name="" title=""/>
            <wp:cNvGraphicFramePr>
              <a:graphicFrameLocks noChangeAspect="1"/>
            </wp:cNvGraphicFramePr>
            <a:graphic>
              <a:graphicData uri="http://schemas.openxmlformats.org/drawingml/2006/picture">
                <pic:pic>
                  <pic:nvPicPr>
                    <pic:cNvPr id="0" name=""/>
                    <pic:cNvPicPr/>
                  </pic:nvPicPr>
                  <pic:blipFill>
                    <a:blip r:embed="R6ca2b5b2ae7f4310">
                      <a:extLst>
                        <a:ext xmlns:a="http://schemas.openxmlformats.org/drawingml/2006/main" uri="{28A0092B-C50C-407E-A947-70E740481C1C}">
                          <a14:useLocalDpi val="0"/>
                        </a:ext>
                      </a:extLst>
                    </a:blip>
                    <a:stretch>
                      <a:fillRect/>
                    </a:stretch>
                  </pic:blipFill>
                  <pic:spPr>
                    <a:xfrm>
                      <a:off x="0" y="0"/>
                      <a:ext cx="4758418" cy="1708150"/>
                    </a:xfrm>
                    <a:prstGeom prst="rect">
                      <a:avLst/>
                    </a:prstGeom>
                  </pic:spPr>
                </pic:pic>
              </a:graphicData>
            </a:graphic>
          </wp:inline>
        </w:drawing>
      </w: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pPr>
      <w:bookmarkStart w:name="_Toc153388823" w:id="21"/>
      <w:bookmarkStart w:name="_Toc469977634" w:id="22"/>
      <w:bookmarkStart w:name="_Toc102040760" w:id="23"/>
      <w:r>
        <w:t>Deploy Cipher</w:t>
      </w:r>
      <w:bookmarkEnd w:id="21"/>
      <w:bookmarkEnd w:id="22"/>
      <w:bookmarkEnd w:id="23"/>
    </w:p>
    <w:p w:rsidRPr="00B7788F" w:rsidR="00E4044A" w:rsidP="00D47759" w:rsidRDefault="00E4044A" w14:paraId="126E4B35" w14:textId="092BB87F">
      <w:pPr>
        <w:contextualSpacing/>
        <w:rPr>
          <w:rFonts w:eastAsia="Times New Roman" w:cstheme="minorHAnsi"/>
          <w:sz w:val="22"/>
          <w:szCs w:val="22"/>
        </w:rPr>
      </w:pPr>
      <w:r w:rsidRPr="620D193F">
        <w:rPr>
          <w:rFonts w:eastAsia="Times New Roman"/>
          <w:sz w:val="22"/>
          <w:szCs w:val="22"/>
        </w:rPr>
        <w:t>Insert a screenshot below of the checksum verification.</w:t>
      </w:r>
    </w:p>
    <w:p w:rsidR="003978A0" w:rsidP="00D47759" w:rsidRDefault="003978A0" w14:paraId="1D5553A4" w14:textId="77777777">
      <w:pPr>
        <w:contextualSpacing/>
        <w:rPr>
          <w:rFonts w:eastAsia="Times New Roman" w:cstheme="minorHAnsi"/>
          <w:sz w:val="22"/>
          <w:szCs w:val="22"/>
        </w:rPr>
      </w:pPr>
    </w:p>
    <w:p w:rsidR="63EB31D0" w:rsidP="3AD71FD2" w:rsidRDefault="63EB31D0" w14:paraId="716497C1" w14:textId="54A17B12">
      <w:pPr>
        <w:pStyle w:val="Normal"/>
        <w:spacing/>
        <w:contextualSpacing/>
      </w:pPr>
      <w:r w:rsidR="63EB31D0">
        <w:drawing>
          <wp:inline wp14:editId="72E66148" wp14:anchorId="32CD62B6">
            <wp:extent cx="4895848" cy="1302422"/>
            <wp:effectExtent l="0" t="0" r="0" b="0"/>
            <wp:docPr id="1951086617" name="" title=""/>
            <wp:cNvGraphicFramePr>
              <a:graphicFrameLocks noChangeAspect="1"/>
            </wp:cNvGraphicFramePr>
            <a:graphic>
              <a:graphicData uri="http://schemas.openxmlformats.org/drawingml/2006/picture">
                <pic:pic>
                  <pic:nvPicPr>
                    <pic:cNvPr id="0" name=""/>
                    <pic:cNvPicPr/>
                  </pic:nvPicPr>
                  <pic:blipFill>
                    <a:blip r:embed="Ra9ade1fbb874495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95848" cy="1302422"/>
                    </a:xfrm>
                    <a:prstGeom prst="rect">
                      <a:avLst/>
                    </a:prstGeom>
                  </pic:spPr>
                </pic:pic>
              </a:graphicData>
            </a:graphic>
          </wp:inline>
        </w:drawing>
      </w:r>
    </w:p>
    <w:p w:rsidR="7BF96329" w:rsidP="7BF96329" w:rsidRDefault="7BF96329" w14:paraId="68CC4323" w14:textId="160C5413">
      <w:pPr>
        <w:pStyle w:val="Normal"/>
        <w:spacing/>
        <w:contextualSpacing/>
      </w:pP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Pr="00B7788F" w:rsidR="00E4044A" w:rsidP="00D47759" w:rsidRDefault="00E4044A" w14:paraId="3BE26112" w14:textId="6216B352">
      <w:pPr>
        <w:contextualSpacing/>
        <w:rPr>
          <w:rFonts w:cstheme="minorHAnsi"/>
          <w:sz w:val="22"/>
          <w:szCs w:val="22"/>
        </w:rPr>
      </w:pPr>
      <w:r w:rsidRPr="620D193F">
        <w:rPr>
          <w:sz w:val="22"/>
          <w:szCs w:val="22"/>
        </w:rPr>
        <w:t>Insert a screenshot below of the web browser that shows a secure webpage.</w:t>
      </w:r>
    </w:p>
    <w:p w:rsidR="003978A0" w:rsidP="00D47759" w:rsidRDefault="003978A0" w14:paraId="2CB31EF5" w14:textId="77777777">
      <w:pPr>
        <w:contextualSpacing/>
        <w:rPr>
          <w:rFonts w:eastAsia="Times New Roman" w:cstheme="minorHAnsi"/>
          <w:sz w:val="22"/>
          <w:szCs w:val="22"/>
        </w:rPr>
      </w:pPr>
    </w:p>
    <w:p w:rsidR="13A33463" w:rsidP="3AD71FD2" w:rsidRDefault="13A33463" w14:paraId="54EB4A19" w14:textId="0DF7F4AB">
      <w:pPr>
        <w:pStyle w:val="Normal"/>
        <w:spacing/>
        <w:contextualSpacing/>
      </w:pPr>
      <w:r w:rsidR="13A33463">
        <w:drawing>
          <wp:inline wp14:editId="4CF39A79" wp14:anchorId="320E2C63">
            <wp:extent cx="4797846" cy="1276350"/>
            <wp:effectExtent l="0" t="0" r="0" b="0"/>
            <wp:docPr id="1716861029" name="" title=""/>
            <wp:cNvGraphicFramePr>
              <a:graphicFrameLocks noChangeAspect="1"/>
            </wp:cNvGraphicFramePr>
            <a:graphic>
              <a:graphicData uri="http://schemas.openxmlformats.org/drawingml/2006/picture">
                <pic:pic>
                  <pic:nvPicPr>
                    <pic:cNvPr id="0" name=""/>
                    <pic:cNvPicPr/>
                  </pic:nvPicPr>
                  <pic:blipFill>
                    <a:blip r:embed="R0b7f6455123e4da7">
                      <a:extLst>
                        <a:ext xmlns:a="http://schemas.openxmlformats.org/drawingml/2006/main" uri="{28A0092B-C50C-407E-A947-70E740481C1C}">
                          <a14:useLocalDpi val="0"/>
                        </a:ext>
                      </a:extLst>
                    </a:blip>
                    <a:stretch>
                      <a:fillRect/>
                    </a:stretch>
                  </pic:blipFill>
                  <pic:spPr>
                    <a:xfrm>
                      <a:off x="0" y="0"/>
                      <a:ext cx="4797846" cy="1276350"/>
                    </a:xfrm>
                    <a:prstGeom prst="rect">
                      <a:avLst/>
                    </a:prstGeom>
                  </pic:spPr>
                </pic:pic>
              </a:graphicData>
            </a:graphic>
          </wp:inline>
        </w:drawing>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Pr="00B7788F" w:rsidR="00E4044A" w:rsidP="00D47759" w:rsidRDefault="00FF48E7" w14:paraId="3496F240" w14:textId="191BA9EA">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rsidR="003978A0" w:rsidP="00D47759" w:rsidRDefault="003978A0" w14:paraId="099B1CE1" w14:textId="77777777">
      <w:pPr>
        <w:contextualSpacing/>
        <w:rPr>
          <w:rFonts w:eastAsia="Times New Roman" w:cstheme="minorHAnsi"/>
          <w:sz w:val="22"/>
          <w:szCs w:val="22"/>
        </w:rPr>
      </w:pPr>
    </w:p>
    <w:p w:rsidRPr="00B7788F" w:rsidR="00DB5652" w:rsidP="3AD71FD2" w:rsidRDefault="00DB5652" w14:paraId="5B3AE5AD" w14:textId="547C6A11">
      <w:pPr>
        <w:pStyle w:val="Normal"/>
        <w:spacing/>
        <w:contextualSpacing/>
      </w:pPr>
      <w:r w:rsidR="22DE672F">
        <w:drawing>
          <wp:inline wp14:editId="6AE9ABF7" wp14:anchorId="5CB6CDBB">
            <wp:extent cx="4207571" cy="2953391"/>
            <wp:effectExtent l="0" t="0" r="0" b="0"/>
            <wp:docPr id="1852938652" name="" title=""/>
            <wp:cNvGraphicFramePr>
              <a:graphicFrameLocks noChangeAspect="1"/>
            </wp:cNvGraphicFramePr>
            <a:graphic>
              <a:graphicData uri="http://schemas.openxmlformats.org/drawingml/2006/picture">
                <pic:pic>
                  <pic:nvPicPr>
                    <pic:cNvPr id="0" name=""/>
                    <pic:cNvPicPr/>
                  </pic:nvPicPr>
                  <pic:blipFill>
                    <a:blip r:embed="Ra4d42066bf4440cc">
                      <a:extLst>
                        <a:ext xmlns:a="http://schemas.openxmlformats.org/drawingml/2006/main" uri="{28A0092B-C50C-407E-A947-70E740481C1C}">
                          <a14:useLocalDpi val="0"/>
                        </a:ext>
                      </a:extLst>
                    </a:blip>
                    <a:stretch>
                      <a:fillRect/>
                    </a:stretch>
                  </pic:blipFill>
                  <pic:spPr>
                    <a:xfrm>
                      <a:off x="0" y="0"/>
                      <a:ext cx="4207571" cy="2953391"/>
                    </a:xfrm>
                    <a:prstGeom prst="rect">
                      <a:avLst/>
                    </a:prstGeom>
                  </pic:spPr>
                </pic:pic>
              </a:graphicData>
            </a:graphic>
          </wp:inline>
        </w:drawing>
      </w:r>
    </w:p>
    <w:p w:rsidRPr="00B7788F" w:rsidR="00DB5652" w:rsidP="3AD71FD2" w:rsidRDefault="00DB5652" w14:paraId="75B70F3E" w14:textId="3FC1564D">
      <w:pPr>
        <w:pStyle w:val="Normal"/>
        <w:spacing/>
        <w:contextualSpacing/>
      </w:pPr>
      <w:r w:rsidR="0A623BDC">
        <w:drawing>
          <wp:inline wp14:editId="38394918" wp14:anchorId="62F4C253">
            <wp:extent cx="4200144" cy="3028950"/>
            <wp:effectExtent l="0" t="0" r="0" b="0"/>
            <wp:docPr id="1683243801" name="" title=""/>
            <wp:cNvGraphicFramePr>
              <a:graphicFrameLocks noChangeAspect="1"/>
            </wp:cNvGraphicFramePr>
            <a:graphic>
              <a:graphicData uri="http://schemas.openxmlformats.org/drawingml/2006/picture">
                <pic:pic>
                  <pic:nvPicPr>
                    <pic:cNvPr id="0" name=""/>
                    <pic:cNvPicPr/>
                  </pic:nvPicPr>
                  <pic:blipFill>
                    <a:blip r:embed="R277f20fa919340b0">
                      <a:extLst>
                        <a:ext xmlns:a="http://schemas.openxmlformats.org/drawingml/2006/main" uri="{28A0092B-C50C-407E-A947-70E740481C1C}">
                          <a14:useLocalDpi val="0"/>
                        </a:ext>
                      </a:extLst>
                    </a:blip>
                    <a:stretch>
                      <a:fillRect/>
                    </a:stretch>
                  </pic:blipFill>
                  <pic:spPr>
                    <a:xfrm>
                      <a:off x="0" y="0"/>
                      <a:ext cx="4200144" cy="3028950"/>
                    </a:xfrm>
                    <a:prstGeom prst="rect">
                      <a:avLst/>
                    </a:prstGeom>
                  </pic:spPr>
                </pic:pic>
              </a:graphicData>
            </a:graphic>
          </wp:inline>
        </w:drawing>
      </w:r>
    </w:p>
    <w:p w:rsidR="3AD71FD2" w:rsidP="3AD71FD2" w:rsidRDefault="3AD71FD2" w14:paraId="3B2154C0" w14:textId="124A04ED">
      <w:pPr>
        <w:spacing/>
        <w:contextualSpacing/>
        <w:rPr>
          <w:rFonts w:eastAsia="Times New Roman" w:cs="Calibri" w:cstheme="minorAscii"/>
          <w:sz w:val="22"/>
          <w:szCs w:val="22"/>
        </w:rPr>
      </w:pP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Pr="00B7788F" w:rsidR="00E4044A" w:rsidP="00D47759" w:rsidRDefault="00E4044A" w14:paraId="6D135EC2" w14:textId="3448645C">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rsidR="003978A0" w:rsidP="00D47759" w:rsidRDefault="003978A0" w14:paraId="42BA38F6" w14:textId="77777777">
      <w:pPr>
        <w:contextualSpacing/>
        <w:rPr>
          <w:rFonts w:eastAsia="Times New Roman" w:cstheme="minorHAnsi"/>
          <w:sz w:val="22"/>
          <w:szCs w:val="22"/>
        </w:rPr>
      </w:pPr>
    </w:p>
    <w:p w:rsidR="10ED78EF" w:rsidP="3AD71FD2" w:rsidRDefault="10ED78EF" w14:paraId="16B6212D" w14:textId="18BDD9E1">
      <w:pPr>
        <w:pStyle w:val="Normal"/>
        <w:spacing/>
        <w:contextualSpacing/>
      </w:pPr>
      <w:r w:rsidR="10ED78EF">
        <w:drawing>
          <wp:inline wp14:editId="764080A9" wp14:anchorId="2C0330AF">
            <wp:extent cx="4362450" cy="1139550"/>
            <wp:effectExtent l="0" t="0" r="0" b="0"/>
            <wp:docPr id="422972048" name="" title=""/>
            <wp:cNvGraphicFramePr>
              <a:graphicFrameLocks noChangeAspect="1"/>
            </wp:cNvGraphicFramePr>
            <a:graphic>
              <a:graphicData uri="http://schemas.openxmlformats.org/drawingml/2006/picture">
                <pic:pic>
                  <pic:nvPicPr>
                    <pic:cNvPr id="0" name=""/>
                    <pic:cNvPicPr/>
                  </pic:nvPicPr>
                  <pic:blipFill>
                    <a:blip r:embed="Rf228ae241fe04db3">
                      <a:extLst>
                        <a:ext xmlns:a="http://schemas.openxmlformats.org/drawingml/2006/main" uri="{28A0092B-C50C-407E-A947-70E740481C1C}">
                          <a14:useLocalDpi val="0"/>
                        </a:ext>
                      </a:extLst>
                    </a:blip>
                    <a:stretch>
                      <a:fillRect/>
                    </a:stretch>
                  </pic:blipFill>
                  <pic:spPr>
                    <a:xfrm>
                      <a:off x="0" y="0"/>
                      <a:ext cx="4362450" cy="1139550"/>
                    </a:xfrm>
                    <a:prstGeom prst="rect">
                      <a:avLst/>
                    </a:prstGeom>
                  </pic:spPr>
                </pic:pic>
              </a:graphicData>
            </a:graphic>
          </wp:inline>
        </w:drawing>
      </w:r>
      <w:r w:rsidR="2556EFA5">
        <w:drawing>
          <wp:inline wp14:editId="4D87712F" wp14:anchorId="7100262D">
            <wp:extent cx="4169584" cy="3067050"/>
            <wp:effectExtent l="0" t="0" r="0" b="0"/>
            <wp:docPr id="679259345" name="" title=""/>
            <wp:cNvGraphicFramePr>
              <a:graphicFrameLocks noChangeAspect="1"/>
            </wp:cNvGraphicFramePr>
            <a:graphic>
              <a:graphicData uri="http://schemas.openxmlformats.org/drawingml/2006/picture">
                <pic:pic>
                  <pic:nvPicPr>
                    <pic:cNvPr id="0" name=""/>
                    <pic:cNvPicPr/>
                  </pic:nvPicPr>
                  <pic:blipFill>
                    <a:blip r:embed="R89bb2729c8804eba">
                      <a:extLst>
                        <a:ext xmlns:a="http://schemas.openxmlformats.org/drawingml/2006/main" uri="{28A0092B-C50C-407E-A947-70E740481C1C}">
                          <a14:useLocalDpi val="0"/>
                        </a:ext>
                      </a:extLst>
                    </a:blip>
                    <a:stretch>
                      <a:fillRect/>
                    </a:stretch>
                  </pic:blipFill>
                  <pic:spPr>
                    <a:xfrm>
                      <a:off x="0" y="0"/>
                      <a:ext cx="4169584" cy="3067050"/>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5055EEF7" w:rsidP="3AD71FD2" w:rsidRDefault="5055EEF7" w14:paraId="5E28C841" w14:textId="5BE12562">
      <w:pPr>
        <w:spacing/>
        <w:contextualSpacing/>
        <w:rPr>
          <w:rFonts w:eastAsia="Times New Roman"/>
          <w:sz w:val="22"/>
          <w:szCs w:val="22"/>
        </w:rPr>
      </w:pPr>
      <w:r w:rsidRPr="3AD71FD2" w:rsidR="5055EEF7">
        <w:rPr>
          <w:rFonts w:eastAsia="Times New Roman"/>
          <w:sz w:val="22"/>
          <w:szCs w:val="22"/>
        </w:rPr>
        <w:t xml:space="preserve">The refactored </w:t>
      </w:r>
      <w:r w:rsidRPr="3AD71FD2" w:rsidR="5055EEF7">
        <w:rPr>
          <w:rFonts w:eastAsia="Times New Roman"/>
          <w:sz w:val="22"/>
          <w:szCs w:val="22"/>
        </w:rPr>
        <w:t>SslServerApplication</w:t>
      </w:r>
      <w:r w:rsidRPr="3AD71FD2" w:rsidR="5055EEF7">
        <w:rPr>
          <w:rFonts w:eastAsia="Times New Roman"/>
          <w:sz w:val="22"/>
          <w:szCs w:val="22"/>
        </w:rPr>
        <w:t xml:space="preserve"> addresses security vulnerabilities by adhering to the Vulnerability Assessment Process Flow. Key improvements include securing data integrity with SHA-256 hashing and replacing stack trace outputs with generic error messages to prevent sensitive information leaks. These changes </w:t>
      </w:r>
      <w:r w:rsidRPr="3AD71FD2" w:rsidR="622F192C">
        <w:rPr>
          <w:rFonts w:eastAsia="Times New Roman"/>
          <w:sz w:val="22"/>
          <w:szCs w:val="22"/>
        </w:rPr>
        <w:t xml:space="preserve">improve </w:t>
      </w:r>
      <w:r w:rsidRPr="3AD71FD2" w:rsidR="5055EEF7">
        <w:rPr>
          <w:rFonts w:eastAsia="Times New Roman"/>
          <w:sz w:val="22"/>
          <w:szCs w:val="22"/>
        </w:rPr>
        <w:t xml:space="preserve">the application’s overall security posture while </w:t>
      </w:r>
      <w:r w:rsidRPr="3AD71FD2" w:rsidR="5055EEF7">
        <w:rPr>
          <w:rFonts w:eastAsia="Times New Roman"/>
          <w:sz w:val="22"/>
          <w:szCs w:val="22"/>
        </w:rPr>
        <w:t>maintaining</w:t>
      </w:r>
      <w:r w:rsidRPr="3AD71FD2" w:rsidR="5055EEF7">
        <w:rPr>
          <w:rFonts w:eastAsia="Times New Roman"/>
          <w:sz w:val="22"/>
          <w:szCs w:val="22"/>
        </w:rPr>
        <w:t xml:space="preserve"> flexibility and reliability. By addressing logical flaws, the software </w:t>
      </w:r>
      <w:r w:rsidRPr="3AD71FD2" w:rsidR="5055EEF7">
        <w:rPr>
          <w:rFonts w:eastAsia="Times New Roman"/>
          <w:sz w:val="22"/>
          <w:szCs w:val="22"/>
        </w:rPr>
        <w:t>complies with</w:t>
      </w:r>
      <w:r w:rsidRPr="3AD71FD2" w:rsidR="5055EEF7">
        <w:rPr>
          <w:rFonts w:eastAsia="Times New Roman"/>
          <w:sz w:val="22"/>
          <w:szCs w:val="22"/>
        </w:rPr>
        <w:t xml:space="preserve"> secure coding protocols and industry standards.</w:t>
      </w: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05479A61" w:rsidP="3AD71FD2" w:rsidRDefault="05479A61" w14:paraId="5F6F15E2" w14:textId="0C582666">
      <w:pPr>
        <w:spacing/>
        <w:contextualSpacing/>
        <w:rPr>
          <w:rFonts w:eastAsia="Times New Roman"/>
          <w:sz w:val="22"/>
          <w:szCs w:val="22"/>
        </w:rPr>
      </w:pPr>
      <w:r w:rsidRPr="3AD71FD2" w:rsidR="05479A61">
        <w:rPr>
          <w:rFonts w:eastAsia="Times New Roman"/>
          <w:sz w:val="22"/>
          <w:szCs w:val="22"/>
        </w:rPr>
        <w:t>The refactoring process incorporated industry-standard best practices to ensure secure and maintainable software. Using SHA-256 for cryptographic hashing upholds robust encryption standards, while dynamic input validation mitigates common injection vulnerabilities. Dependencies were reviewed and updated to remove known risks, and false positives were documented for clarity. These practices not only align with regulatory compliance but also protect the company’s reputation and reduce costs associated with potential security breaches, supporting the organization’s long-term operational stability.</w:t>
      </w: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5479A61"/>
    <w:rsid w:val="07F29CFD"/>
    <w:rsid w:val="085013E2"/>
    <w:rsid w:val="0A623BDC"/>
    <w:rsid w:val="0CD4B619"/>
    <w:rsid w:val="0D89948A"/>
    <w:rsid w:val="0E6ED535"/>
    <w:rsid w:val="10ED78EF"/>
    <w:rsid w:val="13A33463"/>
    <w:rsid w:val="195DB78F"/>
    <w:rsid w:val="1FA2FC07"/>
    <w:rsid w:val="1FCCF913"/>
    <w:rsid w:val="2168C974"/>
    <w:rsid w:val="22DE672F"/>
    <w:rsid w:val="236039E6"/>
    <w:rsid w:val="2556EFA5"/>
    <w:rsid w:val="275A6BDC"/>
    <w:rsid w:val="27C39E9B"/>
    <w:rsid w:val="2CB369A1"/>
    <w:rsid w:val="2E5D5C8F"/>
    <w:rsid w:val="2F43C643"/>
    <w:rsid w:val="30A2BF11"/>
    <w:rsid w:val="329BBDBD"/>
    <w:rsid w:val="3322AB25"/>
    <w:rsid w:val="347D29E8"/>
    <w:rsid w:val="35D35E7F"/>
    <w:rsid w:val="37481265"/>
    <w:rsid w:val="3AD71FD2"/>
    <w:rsid w:val="3AE22101"/>
    <w:rsid w:val="3BC013C1"/>
    <w:rsid w:val="4007FAAC"/>
    <w:rsid w:val="44136985"/>
    <w:rsid w:val="454174DB"/>
    <w:rsid w:val="47F056AF"/>
    <w:rsid w:val="48E6DAA8"/>
    <w:rsid w:val="4A82AB09"/>
    <w:rsid w:val="4B2BE5A8"/>
    <w:rsid w:val="4E510242"/>
    <w:rsid w:val="5018F677"/>
    <w:rsid w:val="5055EEF7"/>
    <w:rsid w:val="51391587"/>
    <w:rsid w:val="53E420D1"/>
    <w:rsid w:val="5482BE4D"/>
    <w:rsid w:val="5627F8D1"/>
    <w:rsid w:val="56954D80"/>
    <w:rsid w:val="57902316"/>
    <w:rsid w:val="5A02075A"/>
    <w:rsid w:val="5B587107"/>
    <w:rsid w:val="5B95489A"/>
    <w:rsid w:val="5D4D3248"/>
    <w:rsid w:val="5DD73C14"/>
    <w:rsid w:val="604FE896"/>
    <w:rsid w:val="620D193F"/>
    <w:rsid w:val="622F192C"/>
    <w:rsid w:val="6292A5E1"/>
    <w:rsid w:val="63EB31D0"/>
    <w:rsid w:val="681DCBB2"/>
    <w:rsid w:val="6922CE99"/>
    <w:rsid w:val="698B4952"/>
    <w:rsid w:val="69952E64"/>
    <w:rsid w:val="69DDBFCF"/>
    <w:rsid w:val="69EDBCD2"/>
    <w:rsid w:val="6D4E6B20"/>
    <w:rsid w:val="7101F37A"/>
    <w:rsid w:val="7176A263"/>
    <w:rsid w:val="783D8A15"/>
    <w:rsid w:val="7AA95D77"/>
    <w:rsid w:val="7BF96329"/>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6ca2b5b2ae7f4310" /><Relationship Type="http://schemas.openxmlformats.org/officeDocument/2006/relationships/image" Target="/media/image5.png" Id="R0b7f6455123e4da7" /><Relationship Type="http://schemas.openxmlformats.org/officeDocument/2006/relationships/image" Target="/media/image6.png" Id="Ra4d42066bf4440cc" /><Relationship Type="http://schemas.openxmlformats.org/officeDocument/2006/relationships/image" Target="/media/image7.png" Id="R277f20fa919340b0" /><Relationship Type="http://schemas.openxmlformats.org/officeDocument/2006/relationships/image" Target="/media/image8.png" Id="Rf228ae241fe04db3" /><Relationship Type="http://schemas.openxmlformats.org/officeDocument/2006/relationships/image" Target="/media/image9.png" Id="R89bb2729c8804eba" /><Relationship Type="http://schemas.openxmlformats.org/officeDocument/2006/relationships/image" Target="/media/imagea.png" Id="Ra9ade1fbb87449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Brown, Jeremiah</lastModifiedBy>
  <revision>52</revision>
  <dcterms:created xsi:type="dcterms:W3CDTF">2022-04-20T12:43:00.0000000Z</dcterms:created>
  <dcterms:modified xsi:type="dcterms:W3CDTF">2024-12-22T22:14:32.2983783Z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