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A81D3">
      <w:pPr>
        <w:rPr>
          <w:rFonts w:ascii="Century Gothic" w:hAnsi="Century Gothic"/>
          <w:color w:val="FF0000"/>
          <w:sz w:val="20"/>
          <w:szCs w:val="20"/>
          <w:lang w:val="pt"/>
        </w:rPr>
      </w:pPr>
      <w:r>
        <w:rPr>
          <w:rFonts w:ascii="Century Gothic" w:hAnsi="Century Gothic"/>
          <w:color w:val="FF0000"/>
          <w:sz w:val="20"/>
          <w:szCs w:val="20"/>
          <w:lang w:val="pt"/>
        </w:rPr>
        <w:t xml:space="preserve"> </w:t>
      </w:r>
    </w:p>
    <w:p w14:paraId="27D35B90">
      <w:pPr>
        <w:jc w:val="center"/>
        <w:rPr>
          <w:rFonts w:ascii="Century Gothic" w:hAnsi="Century Gothic"/>
          <w:b/>
          <w:bCs/>
          <w:sz w:val="20"/>
          <w:szCs w:val="20"/>
          <w:lang w:val="pt-BR"/>
        </w:rPr>
      </w:pPr>
      <w:r>
        <w:rPr>
          <w:rFonts w:ascii="Century Gothic" w:hAnsi="Century Gothic"/>
          <w:b/>
          <w:bCs/>
          <w:sz w:val="20"/>
          <w:szCs w:val="20"/>
          <w:lang w:val="pt"/>
        </w:rPr>
        <w:t xml:space="preserve">ATA n° </w:t>
      </w:r>
      <w:r>
        <w:rPr>
          <w:rFonts w:ascii="Century Gothic" w:hAnsi="Century Gothic"/>
          <w:b/>
          <w:bCs/>
          <w:sz w:val="20"/>
          <w:szCs w:val="20"/>
          <w:lang w:val="pt-BR"/>
        </w:rPr>
        <w:t>001/2025</w:t>
      </w:r>
    </w:p>
    <w:p w14:paraId="726C69F8">
      <w:pPr>
        <w:spacing w:before="240"/>
        <w:jc w:val="both"/>
        <w:rPr>
          <w:rFonts w:ascii="Century Gothic" w:hAnsi="Century Gothic"/>
          <w:sz w:val="20"/>
          <w:szCs w:val="20"/>
          <w:lang w:val="pt"/>
        </w:rPr>
      </w:pPr>
      <w:r>
        <w:rPr>
          <w:rFonts w:ascii="Century Gothic" w:hAnsi="Century Gothic"/>
          <w:sz w:val="20"/>
          <w:szCs w:val="20"/>
          <w:lang w:val="pt"/>
        </w:rPr>
        <w:t xml:space="preserve">Aos dezenove (19) dias do mês de fevereiro, do ano de Dois Mil e Vinte e Cinco (2025), nas dependências da Sala de Reuniões no Centro de Referência de Assistência Social – CRAS Santa Bárbara, sito a Rua Doutor Roberto Cardoso, número duzentos e treze (213), no bairro Santa Bárbara, no município de Arroio dos Ratos, no Estado do Rio Grande do Sul, realizou-se às nove horas e trinta minutos (09h30min), a primeira plenária ordinária do Conselho Municipal de Assistência Social – CMAS do ano. No ato, estavam presentes os seguintes conselheiros (as): </w:t>
      </w:r>
      <w:r>
        <w:rPr>
          <w:rFonts w:ascii="Century Gothic" w:hAnsi="Century Gothic"/>
          <w:b/>
          <w:bCs/>
          <w:sz w:val="20"/>
          <w:szCs w:val="20"/>
          <w:lang w:val="pt"/>
        </w:rPr>
        <w:t xml:space="preserve">as Senhoras Jurema Teresinha Feiten e Carla Cristina Franke de Siqueira - </w:t>
      </w:r>
      <w:r>
        <w:rPr>
          <w:rFonts w:ascii="Century Gothic" w:hAnsi="Century Gothic"/>
          <w:sz w:val="20"/>
          <w:szCs w:val="20"/>
          <w:lang w:val="pt"/>
        </w:rPr>
        <w:t xml:space="preserve">representantes (Titular e Suplente) da Secretaria Municipal de Cidadania e Assistência Social, </w:t>
      </w:r>
      <w:r>
        <w:rPr>
          <w:rFonts w:ascii="Century Gothic" w:hAnsi="Century Gothic"/>
          <w:b/>
          <w:bCs/>
          <w:sz w:val="20"/>
          <w:szCs w:val="20"/>
          <w:lang w:val="pt"/>
        </w:rPr>
        <w:t xml:space="preserve">a Senhora Juliana Santos Schaun Huff </w:t>
      </w:r>
      <w:r>
        <w:rPr>
          <w:rFonts w:ascii="Century Gothic" w:hAnsi="Century Gothic"/>
          <w:sz w:val="20"/>
          <w:szCs w:val="20"/>
          <w:lang w:val="pt"/>
        </w:rPr>
        <w:t xml:space="preserve"> - representante (Suplente) da Secretaria Municipal de Educação, </w:t>
      </w:r>
      <w:r>
        <w:rPr>
          <w:rFonts w:ascii="Century Gothic" w:hAnsi="Century Gothic"/>
          <w:b/>
          <w:bCs/>
          <w:sz w:val="20"/>
          <w:szCs w:val="20"/>
          <w:lang w:val="pt"/>
        </w:rPr>
        <w:t>a</w:t>
      </w:r>
      <w:r>
        <w:rPr>
          <w:rFonts w:ascii="Century Gothic" w:hAnsi="Century Gothic"/>
          <w:sz w:val="20"/>
          <w:szCs w:val="20"/>
          <w:lang w:val="pt"/>
        </w:rPr>
        <w:t xml:space="preserve"> </w:t>
      </w:r>
      <w:r>
        <w:rPr>
          <w:rFonts w:ascii="Century Gothic" w:hAnsi="Century Gothic"/>
          <w:b/>
          <w:bCs/>
          <w:sz w:val="20"/>
          <w:szCs w:val="20"/>
          <w:lang w:val="pt"/>
        </w:rPr>
        <w:t>Senhora Juliane Martini Pinto</w:t>
      </w:r>
      <w:r>
        <w:rPr>
          <w:rFonts w:ascii="Century Gothic" w:hAnsi="Century Gothic"/>
          <w:sz w:val="20"/>
          <w:szCs w:val="20"/>
          <w:lang w:val="pt"/>
        </w:rPr>
        <w:t xml:space="preserve"> - representante (Titular) da Secretaria Municipal da Fazenda, </w:t>
      </w:r>
      <w:r>
        <w:rPr>
          <w:rFonts w:ascii="Century Gothic" w:hAnsi="Century Gothic"/>
          <w:b/>
          <w:bCs/>
          <w:sz w:val="20"/>
          <w:szCs w:val="20"/>
          <w:lang w:val="pt"/>
        </w:rPr>
        <w:t xml:space="preserve">a Senhorita Paola Caroline Teixeira dos Santos – </w:t>
      </w:r>
      <w:r>
        <w:rPr>
          <w:rFonts w:ascii="Century Gothic" w:hAnsi="Century Gothic"/>
          <w:sz w:val="20"/>
          <w:szCs w:val="20"/>
          <w:lang w:val="pt"/>
        </w:rPr>
        <w:t xml:space="preserve">representante (Titular) da Procuradoria Geral do Municipio, </w:t>
      </w:r>
      <w:r>
        <w:rPr>
          <w:rFonts w:ascii="Century Gothic" w:hAnsi="Century Gothic"/>
          <w:b/>
          <w:bCs/>
          <w:sz w:val="20"/>
          <w:szCs w:val="20"/>
          <w:lang w:val="pt"/>
        </w:rPr>
        <w:t xml:space="preserve">as Senhoras Juçara Teresinha Lopes da Silva e Jurema de Oliveira Ferreira – </w:t>
      </w:r>
      <w:r>
        <w:rPr>
          <w:rFonts w:ascii="Century Gothic" w:hAnsi="Century Gothic"/>
          <w:sz w:val="20"/>
          <w:szCs w:val="20"/>
          <w:lang w:val="pt"/>
        </w:rPr>
        <w:t xml:space="preserve">representantes (Titular e Suplente) da Secretaria Municipal de Saúde, </w:t>
      </w:r>
      <w:r>
        <w:rPr>
          <w:rFonts w:ascii="Century Gothic" w:hAnsi="Century Gothic"/>
          <w:b/>
          <w:bCs/>
          <w:sz w:val="20"/>
          <w:szCs w:val="20"/>
          <w:lang w:val="pt"/>
        </w:rPr>
        <w:t xml:space="preserve">a Senhora Gabriela de Souza Alves </w:t>
      </w:r>
      <w:r>
        <w:rPr>
          <w:rFonts w:ascii="Century Gothic" w:hAnsi="Century Gothic"/>
          <w:sz w:val="20"/>
          <w:szCs w:val="20"/>
          <w:lang w:val="pt"/>
        </w:rPr>
        <w:t>– representante do Segmento Pessoa com Deficiência (APAE),</w:t>
      </w:r>
      <w:r>
        <w:rPr>
          <w:rFonts w:ascii="Century Gothic" w:hAnsi="Century Gothic"/>
          <w:b/>
          <w:bCs/>
          <w:sz w:val="20"/>
          <w:szCs w:val="20"/>
          <w:lang w:val="pt"/>
        </w:rPr>
        <w:t xml:space="preserve"> a Senhora Gilma Coutinho Nass </w:t>
      </w:r>
      <w:r>
        <w:rPr>
          <w:rFonts w:ascii="Century Gothic" w:hAnsi="Century Gothic"/>
          <w:sz w:val="20"/>
          <w:szCs w:val="20"/>
          <w:lang w:val="pt"/>
        </w:rPr>
        <w:t xml:space="preserve">– representante (Titular) do Grupo de Idosos assistidos no Serviço de Convivência e Fortalecimento de Vínculos no CRAS Santa Bárbara, </w:t>
      </w:r>
      <w:r>
        <w:rPr>
          <w:rFonts w:ascii="Century Gothic" w:hAnsi="Century Gothic"/>
          <w:b/>
          <w:bCs/>
          <w:sz w:val="20"/>
          <w:szCs w:val="20"/>
          <w:lang w:val="pt"/>
        </w:rPr>
        <w:t xml:space="preserve">a Senhora Silvia Vaz de Oliveira </w:t>
      </w:r>
      <w:r>
        <w:rPr>
          <w:rFonts w:ascii="Century Gothic" w:hAnsi="Century Gothic"/>
          <w:sz w:val="20"/>
          <w:szCs w:val="20"/>
          <w:lang w:val="pt"/>
        </w:rPr>
        <w:t>– representante (Titular) dos Beneficiários do Programa Bolsa Família,</w:t>
      </w:r>
      <w:r>
        <w:rPr>
          <w:rFonts w:ascii="Century Gothic" w:hAnsi="Century Gothic"/>
          <w:b/>
          <w:bCs/>
          <w:sz w:val="20"/>
          <w:szCs w:val="20"/>
          <w:lang w:val="pt"/>
        </w:rPr>
        <w:t xml:space="preserve"> a Senhora Aline Silveira Barreto</w:t>
      </w:r>
      <w:r>
        <w:rPr>
          <w:rFonts w:ascii="Century Gothic" w:hAnsi="Century Gothic"/>
          <w:sz w:val="20"/>
          <w:szCs w:val="20"/>
          <w:lang w:val="pt"/>
        </w:rPr>
        <w:t xml:space="preserve"> – representante (Titular) do Segmento Usuários (Associação Comunitária Cristã Ebenezer), </w:t>
      </w:r>
      <w:r>
        <w:rPr>
          <w:rFonts w:ascii="Century Gothic" w:hAnsi="Century Gothic"/>
          <w:b/>
          <w:bCs/>
          <w:sz w:val="20"/>
          <w:szCs w:val="20"/>
          <w:lang w:val="pt"/>
        </w:rPr>
        <w:t xml:space="preserve">a Senhorita Morgana de Oliveira Ferreira </w:t>
      </w:r>
      <w:r>
        <w:rPr>
          <w:rFonts w:ascii="Century Gothic" w:hAnsi="Century Gothic"/>
          <w:sz w:val="20"/>
          <w:szCs w:val="20"/>
          <w:lang w:val="pt"/>
        </w:rPr>
        <w:t xml:space="preserve">- representante (Titular) do Conselho Regional de Serviço Social (CRESS) e </w:t>
      </w:r>
      <w:r>
        <w:rPr>
          <w:rFonts w:ascii="Century Gothic" w:hAnsi="Century Gothic"/>
          <w:b/>
          <w:bCs/>
          <w:sz w:val="20"/>
          <w:szCs w:val="20"/>
          <w:lang w:val="pt"/>
        </w:rPr>
        <w:t>as Senhoras Lilian Kétli de Souza</w:t>
      </w:r>
      <w:r>
        <w:rPr>
          <w:rFonts w:ascii="Century Gothic" w:hAnsi="Century Gothic"/>
          <w:sz w:val="20"/>
          <w:szCs w:val="20"/>
          <w:lang w:val="pt"/>
        </w:rPr>
        <w:t xml:space="preserve"> </w:t>
      </w:r>
      <w:r>
        <w:rPr>
          <w:rFonts w:ascii="Century Gothic" w:hAnsi="Century Gothic"/>
          <w:b/>
          <w:bCs/>
          <w:sz w:val="20"/>
          <w:szCs w:val="20"/>
          <w:lang w:val="pt"/>
        </w:rPr>
        <w:t>e Elena O’donnell da Silva Pereira -</w:t>
      </w:r>
      <w:r>
        <w:rPr>
          <w:rFonts w:ascii="Century Gothic" w:hAnsi="Century Gothic"/>
          <w:sz w:val="20"/>
          <w:szCs w:val="20"/>
          <w:lang w:val="pt"/>
        </w:rPr>
        <w:t xml:space="preserve"> representante (Titular e Suplente) do Conselho Regional de Psicologia (CRP). Também estavam presentes: </w:t>
      </w:r>
      <w:r>
        <w:rPr>
          <w:rFonts w:ascii="Century Gothic" w:hAnsi="Century Gothic"/>
          <w:b/>
          <w:bCs/>
          <w:sz w:val="20"/>
          <w:szCs w:val="20"/>
          <w:lang w:val="pt"/>
        </w:rPr>
        <w:t xml:space="preserve">o Senhor Vinicius Lague Figueira </w:t>
      </w:r>
      <w:r>
        <w:rPr>
          <w:rFonts w:ascii="Century Gothic" w:hAnsi="Century Gothic"/>
          <w:sz w:val="20"/>
          <w:szCs w:val="20"/>
          <w:lang w:val="pt"/>
        </w:rPr>
        <w:t xml:space="preserve">– Operador, cadastrador e entrevistador do Cadastro Único e Programa Bolsa Família, a Senhora </w:t>
      </w:r>
      <w:r>
        <w:rPr>
          <w:rFonts w:ascii="Century Gothic" w:hAnsi="Century Gothic"/>
          <w:b/>
          <w:bCs/>
          <w:sz w:val="20"/>
          <w:szCs w:val="20"/>
          <w:lang w:val="pt"/>
        </w:rPr>
        <w:t>Cátia Nascimento Andriotti</w:t>
      </w:r>
      <w:r>
        <w:rPr>
          <w:rFonts w:ascii="Century Gothic" w:hAnsi="Century Gothic"/>
          <w:sz w:val="20"/>
          <w:szCs w:val="20"/>
          <w:lang w:val="pt"/>
        </w:rPr>
        <w:t xml:space="preserve"> – Supervisora dos Programas Primeira Infância Melhor – PIM e Primeira Infância no SUAS – Criança Feliz, e esta Secretária Executiva, </w:t>
      </w:r>
      <w:r>
        <w:rPr>
          <w:rFonts w:ascii="Century Gothic" w:hAnsi="Century Gothic"/>
          <w:b/>
          <w:bCs/>
          <w:sz w:val="20"/>
          <w:szCs w:val="20"/>
          <w:lang w:val="pt"/>
        </w:rPr>
        <w:t>Juliana Silveira de Abreu</w:t>
      </w:r>
      <w:r>
        <w:rPr>
          <w:rFonts w:ascii="Century Gothic" w:hAnsi="Century Gothic"/>
          <w:sz w:val="20"/>
          <w:szCs w:val="20"/>
          <w:lang w:val="pt"/>
        </w:rPr>
        <w:t xml:space="preserve">. Foram justificadas as ausências dos seguintes conselheiros (as): </w:t>
      </w:r>
      <w:r>
        <w:rPr>
          <w:rFonts w:ascii="Century Gothic" w:hAnsi="Century Gothic"/>
          <w:b/>
          <w:bCs/>
          <w:sz w:val="20"/>
          <w:szCs w:val="20"/>
          <w:lang w:val="pt"/>
        </w:rPr>
        <w:t>o Senhor Jamir Fortunato Dalenogare</w:t>
      </w:r>
      <w:r>
        <w:rPr>
          <w:rFonts w:ascii="Century Gothic" w:hAnsi="Century Gothic"/>
          <w:sz w:val="20"/>
          <w:szCs w:val="20"/>
          <w:lang w:val="pt"/>
        </w:rPr>
        <w:t xml:space="preserve"> - representante (Titular) do segmento família (ASCAR/EMATER) e a </w:t>
      </w:r>
      <w:r>
        <w:rPr>
          <w:rFonts w:ascii="Century Gothic" w:hAnsi="Century Gothic"/>
          <w:b/>
          <w:bCs/>
          <w:sz w:val="20"/>
          <w:szCs w:val="20"/>
          <w:lang w:val="pt"/>
        </w:rPr>
        <w:t xml:space="preserve">Senhora Loriane Costa do Amaral </w:t>
      </w:r>
      <w:r>
        <w:rPr>
          <w:rFonts w:ascii="Century Gothic" w:hAnsi="Century Gothic"/>
          <w:sz w:val="20"/>
          <w:szCs w:val="20"/>
          <w:lang w:val="pt"/>
        </w:rPr>
        <w:t>– representante (Suplente) do Conselho Regional de Serviço Social (CRESS).</w:t>
      </w:r>
      <w:r>
        <w:rPr>
          <w:rFonts w:ascii="Century Gothic" w:hAnsi="Century Gothic"/>
          <w:b/>
          <w:bCs/>
          <w:sz w:val="20"/>
          <w:szCs w:val="20"/>
          <w:lang w:val="pt"/>
        </w:rPr>
        <w:t xml:space="preserve"> </w:t>
      </w:r>
      <w:r>
        <w:rPr>
          <w:rFonts w:ascii="Century Gothic" w:hAnsi="Century Gothic"/>
          <w:sz w:val="20"/>
          <w:szCs w:val="20"/>
          <w:lang w:val="pt"/>
        </w:rPr>
        <w:t xml:space="preserve">Com a palavra, a Senhora Jurema Teresinha Feiten  - Secretária Municipal de Cidadania e Assistência Social procedeu a recepção e acolhida aos presentes com um carinhoso boas-vindas, após, ressaltou a importância do Controle Social junto aos Gestores Municipais, após, passou a palavra para a Senhora Carla Cristina Franke de Siqueira – Coordenadora do Centro de Referência de Assistência Social – CRAS Santa Bárbara, no qual também se apresenta e deseja boas-vindas aos presentes. Com a palavra, cumprimentei aos Conselheiros (as) presentes, e os entreguei a uma cópia da pauta do dia, tendo como primeiro assunto a ser abordado: </w:t>
      </w:r>
      <w:r>
        <w:rPr>
          <w:rFonts w:ascii="Century Gothic" w:hAnsi="Century Gothic"/>
          <w:b/>
          <w:bCs/>
          <w:sz w:val="20"/>
          <w:szCs w:val="20"/>
          <w:lang w:val="pt"/>
        </w:rPr>
        <w:t xml:space="preserve">a Eleição de nova Diretoria Executiva, </w:t>
      </w:r>
      <w:r>
        <w:rPr>
          <w:rFonts w:ascii="Century Gothic" w:hAnsi="Century Gothic"/>
          <w:sz w:val="20"/>
          <w:szCs w:val="20"/>
          <w:lang w:val="pt"/>
        </w:rPr>
        <w:t xml:space="preserve">seguindo ao disposto no Regimento Interno do Conselho Municipal de Assistência Social – Art. 4º, Art. 5º, 6º e 7º do Capítulo II – Da organização o Colegiado (composição). Informo ainda que a Senhorita Morgana de Oliveira Ferreira assumiu interinamente a Presidência deste Conselho Municipal, no período de primeiro (01) de janeiro a dezoito (18) de fevereiro do corrente ano, onde na manhã do presente dia foi Eleita e empossada a nova Diretoria Executiva para o biênio 2025-2027, composta pelas seguintes Conselheiras: </w:t>
      </w:r>
      <w:r>
        <w:rPr>
          <w:rFonts w:ascii="Century Gothic" w:hAnsi="Century Gothic"/>
          <w:b/>
          <w:bCs/>
          <w:sz w:val="20"/>
          <w:szCs w:val="20"/>
          <w:lang w:val="pt"/>
        </w:rPr>
        <w:t>a Senhora Lilian Ketli de Souza – Presidenta, a Senhorita Morgana de Oliveira Ferreira – Vice Presidenta, a Senhora Juliane Martini Pinto - 1ª Secretária e a Senhorita Paola Caroline Teixeira dos Santos – 2ª Secretária</w:t>
      </w:r>
      <w:r>
        <w:rPr>
          <w:rFonts w:ascii="Century Gothic" w:hAnsi="Century Gothic"/>
          <w:sz w:val="20"/>
          <w:szCs w:val="20"/>
          <w:lang w:val="pt"/>
        </w:rPr>
        <w:t xml:space="preserve">. Informo ainda, que </w:t>
      </w:r>
      <w:r>
        <w:rPr>
          <w:rFonts w:ascii="Century Gothic" w:hAnsi="Century Gothic"/>
          <w:b/>
          <w:bCs/>
          <w:sz w:val="20"/>
          <w:szCs w:val="20"/>
          <w:lang w:val="pt"/>
        </w:rPr>
        <w:t>a Senhora Juliana Silveira de Abreu foi indicada pela Secretária Municipal de Cidadania e Assistência Social para atuar como Secretária Executiva.</w:t>
      </w:r>
      <w:r>
        <w:rPr>
          <w:rFonts w:ascii="Century Gothic" w:hAnsi="Century Gothic"/>
          <w:sz w:val="20"/>
          <w:szCs w:val="20"/>
          <w:lang w:val="pt"/>
        </w:rPr>
        <w:t xml:space="preserve"> Fora procedida à </w:t>
      </w:r>
      <w:r>
        <w:rPr>
          <w:rFonts w:ascii="Century Gothic" w:hAnsi="Century Gothic"/>
          <w:b/>
          <w:bCs/>
          <w:sz w:val="20"/>
          <w:szCs w:val="20"/>
          <w:lang w:val="pt"/>
        </w:rPr>
        <w:t xml:space="preserve">apresentação dos saldos existentes em contas bancárias, </w:t>
      </w:r>
      <w:r>
        <w:rPr>
          <w:rFonts w:ascii="Century Gothic" w:hAnsi="Century Gothic"/>
          <w:sz w:val="20"/>
          <w:szCs w:val="20"/>
          <w:lang w:val="pt"/>
        </w:rPr>
        <w:t xml:space="preserve">sendo aprovada a reprogramação dos saldos existentes para a devida utilização no presente exercício. Informo ainda que os recursos serão utilizados em consonância as legislações e as normativas existentes do Fundo Estadual de Assistência Social – FEAS e Fundo Nacional de Assistência Social – FNAS. Ainda sobre o assunto, os Conselheiros (as) foram informados de que precisaremos realizar algumas devoluções financeira, em virtude da falta de planejamento para a utilização dos recursos em tempo hábil e também devido ao Departamento de Compras não terem atendidos aos inúmeros pedidos encaminhados pelos segmentos que compoem a Secretaria Municipal de Cidadania e Assistência Social. Diante a apresentação, discussão e devidos esclarecimentos, foram aprovadas por unanimidade as reprogramações de saldos existentes no Fundo Estadual de Assistência Social – FEAS e Fundo Nacional de Assistência Social – FNAS. Referente as </w:t>
      </w:r>
      <w:r>
        <w:rPr>
          <w:rFonts w:ascii="Century Gothic" w:hAnsi="Century Gothic"/>
          <w:b/>
          <w:bCs/>
          <w:sz w:val="20"/>
          <w:szCs w:val="20"/>
          <w:lang w:val="pt"/>
        </w:rPr>
        <w:t>correspondências expedidas,</w:t>
      </w:r>
      <w:r>
        <w:rPr>
          <w:rFonts w:ascii="Century Gothic" w:hAnsi="Century Gothic"/>
          <w:sz w:val="20"/>
          <w:szCs w:val="20"/>
          <w:lang w:val="pt"/>
        </w:rPr>
        <w:t xml:space="preserve"> os conselheiros foram informados de que não foram redigidos documentos por parte deste Conselho Municipal desde o mês de outubro do exercicio anterior. Referente as </w:t>
      </w:r>
      <w:r>
        <w:rPr>
          <w:rFonts w:ascii="Century Gothic" w:hAnsi="Century Gothic"/>
          <w:b/>
          <w:bCs/>
          <w:sz w:val="20"/>
          <w:szCs w:val="20"/>
          <w:lang w:val="pt"/>
        </w:rPr>
        <w:t>correspondências recebidas</w:t>
      </w:r>
      <w:r>
        <w:rPr>
          <w:rFonts w:ascii="Century Gothic" w:hAnsi="Century Gothic"/>
          <w:sz w:val="20"/>
          <w:szCs w:val="20"/>
          <w:lang w:val="pt"/>
        </w:rPr>
        <w:t xml:space="preserve">, procedi a leitura dos ofícios recebidos da Secretaria Municipal de Cidadania e Assistência Social, sendo estes de números: OF. SMCAS, nº 09/2025, 10/2025 e 11/2025 pertinente à informações sobre as transferências de recursos federais ao municipio, de competência aos meses de outubro, novembro e dezembro do exercicio anterior. Também fora procedida a </w:t>
      </w:r>
      <w:r>
        <w:rPr>
          <w:rFonts w:ascii="Century Gothic" w:hAnsi="Century Gothic"/>
          <w:b/>
          <w:bCs/>
          <w:sz w:val="20"/>
          <w:szCs w:val="20"/>
          <w:lang w:val="pt"/>
        </w:rPr>
        <w:t xml:space="preserve">leitura da resposta contida no OF. SMCAS, nº 20/2025, </w:t>
      </w:r>
      <w:r>
        <w:rPr>
          <w:rFonts w:ascii="Century Gothic" w:hAnsi="Century Gothic"/>
          <w:sz w:val="20"/>
          <w:szCs w:val="20"/>
          <w:lang w:val="pt"/>
        </w:rPr>
        <w:t xml:space="preserve">pertinente à supostas irregularidades nos Serviços Socioassistenciais do SUAS, sendo uma denúncia recebida do Ministério do Desenvolvimento Social, Família e Combate à Fome e Secretaria Nacional de Assistência Social, este de OFÍCIO Nº 551/2025/MDS/SNAS/CGGI – datado em 11/02/2025, sendo o assunto debatido por todos os presentes. Após fora procedida </w:t>
      </w:r>
      <w:r>
        <w:rPr>
          <w:rFonts w:ascii="Century Gothic" w:hAnsi="Century Gothic"/>
          <w:b/>
          <w:bCs/>
          <w:sz w:val="20"/>
          <w:szCs w:val="20"/>
          <w:lang w:val="pt"/>
        </w:rPr>
        <w:t>a leitura do email recebido por este Conselho Municipal</w:t>
      </w:r>
      <w:r>
        <w:rPr>
          <w:rFonts w:ascii="Century Gothic" w:hAnsi="Century Gothic"/>
          <w:sz w:val="20"/>
          <w:szCs w:val="20"/>
          <w:lang w:val="pt"/>
        </w:rPr>
        <w:t xml:space="preserve">, sendo o OFÍCIO Nº 552/2025/MDS/SNAS/CGGI – datado em 11/02/2025, também pertinente as supostas irregularidades nos Serviços Socioassistenciais do SUAS no qual será respondido na próxima semana. Foram colocados em apreciação os </w:t>
      </w:r>
      <w:r>
        <w:rPr>
          <w:rFonts w:ascii="Century Gothic" w:hAnsi="Century Gothic"/>
          <w:b/>
          <w:bCs/>
          <w:sz w:val="20"/>
          <w:szCs w:val="20"/>
          <w:lang w:val="pt"/>
        </w:rPr>
        <w:t>relatórios mensais de atendimento do Programa Primeira Infância no SUAS,</w:t>
      </w:r>
      <w:r>
        <w:rPr>
          <w:rFonts w:ascii="Century Gothic" w:hAnsi="Century Gothic"/>
          <w:sz w:val="20"/>
          <w:szCs w:val="20"/>
          <w:lang w:val="pt"/>
        </w:rPr>
        <w:t xml:space="preserve"> do período de Setembro a Novembro do exercicio anterior, no qual não haviam sido elaborados e nem entregues pela Supervisora anterior, sendo de extrema importância para o conhecimento dos Conselheiros (as) e da transparência dos serviços hoje prestados nos programas Primeira Infância Melhor – PIM e Programa Primeira Infância Melhor – Criança Feliz. Os Conselheiros (as) foram informados da regularização de inúmeros relatórios conforme a apresentação dos relatórios do Programa Primeira Infância no SUAS – Criança Feliz que se encontravam pendentes, e que a Supervisora Cátia Nascimento Andriotti está os colocando em dia, bem como, esta Secretária Executiva está regularizando e colocando em dia os documentos que se encontravam pendentes da Secretaria Municipal de Cidadania e Assistência Social  e Conselho Municipal de Assistência Social - CMAS.  Com a palavra, procedi à </w:t>
      </w:r>
      <w:r>
        <w:rPr>
          <w:rFonts w:ascii="Century Gothic" w:hAnsi="Century Gothic"/>
          <w:b/>
          <w:bCs/>
          <w:sz w:val="20"/>
          <w:szCs w:val="20"/>
          <w:lang w:val="pt"/>
        </w:rPr>
        <w:t>apresentação do relatório de informações do Programa Bolsa Família e Cadastro no município</w:t>
      </w:r>
      <w:r>
        <w:rPr>
          <w:rFonts w:ascii="Century Gothic" w:hAnsi="Century Gothic"/>
          <w:sz w:val="20"/>
          <w:szCs w:val="20"/>
          <w:lang w:val="pt"/>
        </w:rPr>
        <w:t xml:space="preserve">, constando as informações também nas áreas de assistência social, educação e saúde, onde constam os seguintes índices informados pelo Ministério do Desenvolvimento e Assistência Social, Família e Combate à Fome: </w:t>
      </w:r>
      <w:r>
        <w:rPr>
          <w:rFonts w:ascii="Century Gothic" w:hAnsi="Century Gothic"/>
          <w:b/>
          <w:bCs/>
          <w:sz w:val="20"/>
          <w:szCs w:val="20"/>
          <w:lang w:val="pt"/>
        </w:rPr>
        <w:t xml:space="preserve">acompanhamento da atualização cadastral (área da Assistência Social) </w:t>
      </w:r>
      <w:r>
        <w:rPr>
          <w:rFonts w:ascii="Century Gothic" w:hAnsi="Century Gothic"/>
          <w:sz w:val="20"/>
          <w:szCs w:val="20"/>
          <w:lang w:val="pt"/>
        </w:rPr>
        <w:t xml:space="preserve">estando em 90,7% (acima do percentual nacional), </w:t>
      </w:r>
      <w:r>
        <w:rPr>
          <w:rFonts w:ascii="Century Gothic" w:hAnsi="Century Gothic"/>
          <w:b/>
          <w:bCs/>
          <w:sz w:val="20"/>
          <w:szCs w:val="20"/>
          <w:lang w:val="pt"/>
        </w:rPr>
        <w:t xml:space="preserve">acompanhamento das condicionalidades de educação (área da Educação) </w:t>
      </w:r>
      <w:r>
        <w:rPr>
          <w:rFonts w:ascii="Century Gothic" w:hAnsi="Century Gothic"/>
          <w:sz w:val="20"/>
          <w:szCs w:val="20"/>
          <w:lang w:val="pt"/>
        </w:rPr>
        <w:t xml:space="preserve">estando em 93,4% (acima do percentual nacional) e </w:t>
      </w:r>
      <w:r>
        <w:rPr>
          <w:rFonts w:ascii="Century Gothic" w:hAnsi="Century Gothic"/>
          <w:b/>
          <w:bCs/>
          <w:sz w:val="20"/>
          <w:szCs w:val="20"/>
          <w:lang w:val="pt"/>
        </w:rPr>
        <w:t xml:space="preserve">acompanhamento das condicionalidades de saúde (área da saúde) </w:t>
      </w:r>
      <w:r>
        <w:rPr>
          <w:rFonts w:ascii="Century Gothic" w:hAnsi="Century Gothic"/>
          <w:sz w:val="20"/>
          <w:szCs w:val="20"/>
          <w:lang w:val="pt"/>
        </w:rPr>
        <w:t xml:space="preserve">estando 87,8% (acima do percentual nacional). Com a palavra, o servidor Vinicius Lague Figueira – Operador, digitador, entrevistador e cadastrador do Cadastro Único e Programa Bolsa Família procedeu a </w:t>
      </w:r>
      <w:r>
        <w:rPr>
          <w:rFonts w:ascii="Century Gothic" w:hAnsi="Century Gothic"/>
          <w:b/>
          <w:bCs/>
          <w:sz w:val="20"/>
          <w:szCs w:val="20"/>
          <w:lang w:val="pt"/>
        </w:rPr>
        <w:t>apresentação dos relatórios de atendimento mensais,</w:t>
      </w:r>
      <w:r>
        <w:rPr>
          <w:rFonts w:ascii="Century Gothic" w:hAnsi="Century Gothic"/>
          <w:sz w:val="20"/>
          <w:szCs w:val="20"/>
          <w:lang w:val="pt"/>
        </w:rPr>
        <w:t xml:space="preserve"> de competência ao período de setembro a dezembro do exercicio anterior, e do mês de janeiro do corrente ano, sendo realizados o total de duas mil e oitenta e três (2083) </w:t>
      </w:r>
      <w:r>
        <w:rPr>
          <w:rFonts w:ascii="Century Gothic" w:hAnsi="Century Gothic"/>
          <w:b/>
          <w:bCs/>
          <w:sz w:val="20"/>
          <w:szCs w:val="20"/>
          <w:lang w:val="pt"/>
        </w:rPr>
        <w:t>atendimentos</w:t>
      </w:r>
      <w:r>
        <w:rPr>
          <w:rFonts w:ascii="Century Gothic" w:hAnsi="Century Gothic"/>
          <w:sz w:val="20"/>
          <w:szCs w:val="20"/>
          <w:lang w:val="pt"/>
        </w:rPr>
        <w:t xml:space="preserve">, destes realizados a cento e novecentas e trinta e uma (931) </w:t>
      </w:r>
      <w:r>
        <w:rPr>
          <w:rFonts w:ascii="Century Gothic" w:hAnsi="Century Gothic"/>
          <w:b/>
          <w:bCs/>
          <w:sz w:val="20"/>
          <w:szCs w:val="20"/>
          <w:lang w:val="pt"/>
        </w:rPr>
        <w:t>atualizações de cadastros</w:t>
      </w:r>
      <w:r>
        <w:rPr>
          <w:rFonts w:ascii="Century Gothic" w:hAnsi="Century Gothic"/>
          <w:sz w:val="20"/>
          <w:szCs w:val="20"/>
          <w:lang w:val="pt"/>
        </w:rPr>
        <w:t xml:space="preserve">, a sessenta e uma (61) </w:t>
      </w:r>
      <w:r>
        <w:rPr>
          <w:rFonts w:ascii="Century Gothic" w:hAnsi="Century Gothic"/>
          <w:b/>
          <w:bCs/>
          <w:sz w:val="20"/>
          <w:szCs w:val="20"/>
          <w:lang w:val="pt"/>
        </w:rPr>
        <w:t>exclusões</w:t>
      </w:r>
      <w:r>
        <w:rPr>
          <w:rFonts w:ascii="Century Gothic" w:hAnsi="Century Gothic"/>
          <w:sz w:val="20"/>
          <w:szCs w:val="20"/>
          <w:lang w:val="pt"/>
        </w:rPr>
        <w:t xml:space="preserve">, a cento e uma (101) </w:t>
      </w:r>
      <w:r>
        <w:rPr>
          <w:rFonts w:ascii="Century Gothic" w:hAnsi="Century Gothic"/>
          <w:b/>
          <w:bCs/>
          <w:sz w:val="20"/>
          <w:szCs w:val="20"/>
          <w:lang w:val="pt"/>
        </w:rPr>
        <w:t>transferências</w:t>
      </w:r>
      <w:r>
        <w:rPr>
          <w:rFonts w:ascii="Century Gothic" w:hAnsi="Century Gothic"/>
          <w:sz w:val="20"/>
          <w:szCs w:val="20"/>
          <w:lang w:val="pt"/>
        </w:rPr>
        <w:t xml:space="preserve">, a cinquenta e cinco (55)  </w:t>
      </w:r>
      <w:r>
        <w:rPr>
          <w:rFonts w:ascii="Century Gothic" w:hAnsi="Century Gothic"/>
          <w:b/>
          <w:bCs/>
          <w:sz w:val="20"/>
          <w:szCs w:val="20"/>
          <w:lang w:val="pt"/>
        </w:rPr>
        <w:t>desbloqueios</w:t>
      </w:r>
      <w:r>
        <w:rPr>
          <w:rFonts w:ascii="Century Gothic" w:hAnsi="Century Gothic"/>
          <w:sz w:val="20"/>
          <w:szCs w:val="20"/>
          <w:lang w:val="pt"/>
        </w:rPr>
        <w:t xml:space="preserve">, a duzentas e vinte e quatro (224) </w:t>
      </w:r>
      <w:r>
        <w:rPr>
          <w:rFonts w:ascii="Century Gothic" w:hAnsi="Century Gothic"/>
          <w:b/>
          <w:bCs/>
          <w:sz w:val="20"/>
          <w:szCs w:val="20"/>
          <w:lang w:val="pt"/>
        </w:rPr>
        <w:t>informações concedidas</w:t>
      </w:r>
      <w:r>
        <w:rPr>
          <w:rFonts w:ascii="Century Gothic" w:hAnsi="Century Gothic"/>
          <w:sz w:val="20"/>
          <w:szCs w:val="20"/>
          <w:lang w:val="pt"/>
        </w:rPr>
        <w:t xml:space="preserve">, a cento e quarenta (140) </w:t>
      </w:r>
      <w:r>
        <w:rPr>
          <w:rFonts w:ascii="Century Gothic" w:hAnsi="Century Gothic"/>
          <w:b/>
          <w:bCs/>
          <w:sz w:val="20"/>
          <w:szCs w:val="20"/>
          <w:lang w:val="pt"/>
        </w:rPr>
        <w:t>novos cadastros</w:t>
      </w:r>
      <w:r>
        <w:rPr>
          <w:rFonts w:ascii="Century Gothic" w:hAnsi="Century Gothic"/>
          <w:sz w:val="20"/>
          <w:szCs w:val="20"/>
          <w:lang w:val="pt"/>
        </w:rPr>
        <w:t xml:space="preserve"> e também concedidas a quatrocentas e trinta e seis (436) </w:t>
      </w:r>
      <w:r>
        <w:rPr>
          <w:rFonts w:ascii="Century Gothic" w:hAnsi="Century Gothic"/>
          <w:b/>
          <w:bCs/>
          <w:sz w:val="20"/>
          <w:szCs w:val="20"/>
          <w:lang w:val="pt"/>
        </w:rPr>
        <w:t>emissão de folhas resumo</w:t>
      </w:r>
      <w:r>
        <w:rPr>
          <w:rFonts w:ascii="Century Gothic" w:hAnsi="Century Gothic"/>
          <w:sz w:val="20"/>
          <w:szCs w:val="20"/>
          <w:lang w:val="pt"/>
        </w:rPr>
        <w:t xml:space="preserve"> </w:t>
      </w:r>
      <w:r>
        <w:rPr>
          <w:rFonts w:ascii="Century Gothic" w:hAnsi="Century Gothic"/>
          <w:sz w:val="20"/>
          <w:szCs w:val="20"/>
          <w:lang w:val="pt-BR"/>
        </w:rPr>
        <w:t xml:space="preserve">(este </w:t>
      </w:r>
      <w:r>
        <w:rPr>
          <w:rFonts w:ascii="Century Gothic" w:hAnsi="Century Gothic"/>
          <w:sz w:val="20"/>
          <w:szCs w:val="20"/>
          <w:lang w:val="pt"/>
        </w:rPr>
        <w:t>a pedido do beneficiário</w:t>
      </w:r>
      <w:r>
        <w:rPr>
          <w:rFonts w:ascii="Century Gothic" w:hAnsi="Century Gothic"/>
          <w:sz w:val="20"/>
          <w:szCs w:val="20"/>
          <w:lang w:val="pt-BR"/>
        </w:rPr>
        <w:t>)</w:t>
      </w:r>
      <w:r>
        <w:rPr>
          <w:rFonts w:ascii="Century Gothic" w:hAnsi="Century Gothic"/>
          <w:sz w:val="20"/>
          <w:szCs w:val="20"/>
          <w:lang w:val="pt"/>
        </w:rPr>
        <w:t xml:space="preserve">, e realizadas a cento e trinta e cinco (135) </w:t>
      </w:r>
      <w:r>
        <w:rPr>
          <w:rFonts w:ascii="Century Gothic" w:hAnsi="Century Gothic"/>
          <w:b/>
          <w:bCs/>
          <w:sz w:val="20"/>
          <w:szCs w:val="20"/>
          <w:lang w:val="pt"/>
        </w:rPr>
        <w:t>visitas domiciliares.</w:t>
      </w:r>
      <w:r>
        <w:rPr>
          <w:rFonts w:ascii="Century Gothic" w:hAnsi="Century Gothic"/>
          <w:sz w:val="20"/>
          <w:szCs w:val="20"/>
          <w:lang w:val="pt"/>
        </w:rPr>
        <w:t xml:space="preserve"> Foram apresentados e colocados em apreciação os </w:t>
      </w:r>
      <w:r>
        <w:rPr>
          <w:rFonts w:ascii="Century Gothic" w:hAnsi="Century Gothic"/>
          <w:b/>
          <w:bCs/>
          <w:sz w:val="20"/>
          <w:szCs w:val="20"/>
          <w:lang w:val="pt"/>
        </w:rPr>
        <w:t>relatórios de metas atendidas e dos Convênios Municipais firmados para o exercício de Dois Mil e Vinte e Quatro (2024), pertinente aos atendimentos realizados e as concessões de benefícios eventuais, tendo este a competência do mês de setembro a dezembro do exercicio anterior</w:t>
      </w:r>
      <w:r>
        <w:rPr>
          <w:rFonts w:ascii="Century Gothic" w:hAnsi="Century Gothic"/>
          <w:sz w:val="20"/>
          <w:szCs w:val="20"/>
          <w:lang w:val="pt"/>
        </w:rPr>
        <w:t xml:space="preserve">, sendo estes aprovados por unanimidade pelos presentes. Os conselheiros (as) foram informados sobre as parcelas recebidas através do Fundo Nacional de Assistência Social — FNAS, pertinente ao mês outubro a dezembro do exercicio anterior, </w:t>
      </w:r>
      <w:r>
        <w:rPr>
          <w:rFonts w:ascii="Century Gothic" w:hAnsi="Century Gothic"/>
          <w:b/>
          <w:bCs/>
          <w:sz w:val="20"/>
          <w:szCs w:val="20"/>
          <w:lang w:val="pt"/>
        </w:rPr>
        <w:t xml:space="preserve">totalizando: o valor do repasse em R$ 118.249,97 (Cento e dezoito Mil, duzentos e quarenta e nove reais e noventa e sete centavos) e o valor de R$ 13.418,11 (Treze Mil, quatrocentos e dezoito reais e onze centavos) no presente exercicio. </w:t>
      </w:r>
      <w:r>
        <w:rPr>
          <w:rFonts w:ascii="Century Gothic" w:hAnsi="Century Gothic"/>
          <w:sz w:val="20"/>
          <w:szCs w:val="20"/>
          <w:lang w:val="pt"/>
        </w:rPr>
        <w:t>Foram colocados em</w:t>
      </w:r>
      <w:r>
        <w:rPr>
          <w:rFonts w:ascii="Century Gothic" w:hAnsi="Century Gothic"/>
          <w:b/>
          <w:bCs/>
          <w:sz w:val="20"/>
          <w:szCs w:val="20"/>
          <w:lang w:val="pt"/>
        </w:rPr>
        <w:t xml:space="preserve"> </w:t>
      </w:r>
      <w:r>
        <w:rPr>
          <w:rFonts w:ascii="Century Gothic" w:hAnsi="Century Gothic"/>
          <w:sz w:val="20"/>
          <w:szCs w:val="20"/>
          <w:lang w:val="pt"/>
        </w:rPr>
        <w:t>apreciação,</w:t>
      </w:r>
      <w:r>
        <w:rPr>
          <w:rFonts w:ascii="Century Gothic" w:hAnsi="Century Gothic"/>
          <w:b/>
          <w:bCs/>
          <w:sz w:val="20"/>
          <w:szCs w:val="20"/>
          <w:lang w:val="pt"/>
        </w:rPr>
        <w:t xml:space="preserve"> os Planos de Trabalho das Entidades: Associação de Pais e Amigos dos Excepcionais – APAE e Associação Comunitária Cristã Ebenezer, </w:t>
      </w:r>
      <w:r>
        <w:rPr>
          <w:rFonts w:ascii="Century Gothic" w:hAnsi="Century Gothic"/>
          <w:sz w:val="20"/>
          <w:szCs w:val="20"/>
          <w:lang w:val="pt"/>
        </w:rPr>
        <w:t xml:space="preserve">sendo os Conselheiros (as) informados de que a Senhorita Vitoria Lemos da Silva – Assessora do Procurador Geral, realizou ao impacto financeiro junto a Secretaria Municipal da Fazendo, sendo sugerido da aprovação do mesmo valor do exercício anterior em virtude da real situação financeira em que se encontra os cofres públicos, onde sugerido por esta Secretária Executiva, que possamos realizar a um novo estudo do impacto financeiro e no mês de agosto para rever a possibilidade de aumento ou não do repasse. O assunto foi debatido pelos presentes, sendo aprovado por unanimidade o valor do repasse em R$ 18.831,60 (Dezoito Mil, Oitocentos e Trinta e Um Reais e Sessenta Centavos). Será encaminhada aos documentos para os devidos trâmites do Termo de Colaboração para o presente exercício. Após, fora </w:t>
      </w:r>
      <w:r>
        <w:rPr>
          <w:rFonts w:ascii="Century Gothic" w:hAnsi="Century Gothic"/>
          <w:b/>
          <w:bCs/>
          <w:sz w:val="20"/>
          <w:szCs w:val="20"/>
          <w:lang w:val="pt"/>
        </w:rPr>
        <w:t>criada a uma Comissão provisória, para estudo dos planejamentos</w:t>
      </w:r>
      <w:r>
        <w:rPr>
          <w:rFonts w:ascii="Century Gothic" w:hAnsi="Century Gothic"/>
          <w:sz w:val="20"/>
          <w:szCs w:val="20"/>
          <w:lang w:val="pt"/>
        </w:rPr>
        <w:t xml:space="preserve"> entregues pelos segmentos que compoem a Secretaria Municipal de Cidadania e Assistência Social e entidades conveniadas, ficando composta pelas Conselheiras: a Senhora Gabriela de Souza Alves, a Senhora Aline Silveira Barreto, a Senhora Juliane Martini Pinto e a Senhorita Paola Caroline Teixeira dos Santos, com data a ser agendada para a próxima semana.</w:t>
      </w:r>
      <w:r>
        <w:rPr>
          <w:rFonts w:ascii="Century Gothic" w:hAnsi="Century Gothic"/>
          <w:b/>
          <w:bCs/>
          <w:sz w:val="20"/>
          <w:szCs w:val="20"/>
          <w:lang w:val="pt"/>
        </w:rPr>
        <w:t xml:space="preserve"> Fora colocada em apreciação e posteriormente em aprovação, </w:t>
      </w:r>
      <w:r>
        <w:rPr>
          <w:rFonts w:ascii="Century Gothic" w:hAnsi="Century Gothic"/>
          <w:sz w:val="20"/>
          <w:szCs w:val="20"/>
          <w:lang w:val="pt"/>
        </w:rPr>
        <w:t xml:space="preserve">a aquisição de um veículo (minivan de 7 lugares) para o Conselho Tutelar, sendo o recurso recebido através de Emeda Parlamentar da Deputada Federal Liziane Bayer, no valor de R$ 150.000,00 (Cento e Cinquenta Mil Reais), no qual já repassado ao municipio, conforme Ofício nº 088/2023 GAB/FB – datado em 27/03/2023. Apesar do Conselho Tutelar não constar no organograma desta Secretaria Municipal, se fez necessária devido a Emenda ser destinada junto ao Ministério em que abrange esta Secretaria Municipal. Após, os Conselheiros (as) foram informados de que as </w:t>
      </w:r>
      <w:r>
        <w:rPr>
          <w:rFonts w:ascii="Century Gothic" w:hAnsi="Century Gothic"/>
          <w:b/>
          <w:bCs/>
          <w:sz w:val="20"/>
          <w:szCs w:val="20"/>
          <w:lang w:val="pt"/>
        </w:rPr>
        <w:t xml:space="preserve">Legislações deste Conselho Municipal se encontram desatualizadas, dentre eles citado o Regimento Interno. </w:t>
      </w:r>
      <w:r>
        <w:rPr>
          <w:rFonts w:ascii="Century Gothic" w:hAnsi="Century Gothic"/>
          <w:sz w:val="20"/>
          <w:szCs w:val="20"/>
          <w:lang w:val="pt"/>
        </w:rPr>
        <w:t xml:space="preserve">Também foi relatada sobre as tentativas de contratação de prestador de serviço para a devida readequação, onde foi aprovado no exercicio de 2023 a contratação de empresa para a prestação de serviços e adequações necessárias, e serem utilizados de recursos do IGD SUAS para o devido pagamento, sendo aprovada por unanimidade pelos presentes a referida contratação em caráter de urgência e a utilização de recursos federais. Foram apresentadas e colocadas em apreciação as </w:t>
      </w:r>
      <w:r>
        <w:rPr>
          <w:rFonts w:ascii="Century Gothic" w:hAnsi="Century Gothic"/>
          <w:b/>
          <w:bCs/>
          <w:sz w:val="20"/>
          <w:szCs w:val="20"/>
          <w:lang w:val="pt"/>
        </w:rPr>
        <w:t>solicitações encaminhadas</w:t>
      </w:r>
      <w:r>
        <w:rPr>
          <w:rFonts w:ascii="Century Gothic" w:hAnsi="Century Gothic"/>
          <w:sz w:val="20"/>
          <w:szCs w:val="20"/>
          <w:lang w:val="pt"/>
        </w:rPr>
        <w:t xml:space="preserve"> pela Secretaria Municipal de Cidadania e Assistência Social e seus segmentos, sendo estas aprovadas pela </w:t>
      </w:r>
      <w:r>
        <w:rPr>
          <w:rFonts w:ascii="Century Gothic" w:hAnsi="Century Gothic"/>
          <w:sz w:val="20"/>
          <w:szCs w:val="20"/>
          <w:lang w:val="pt-BR"/>
        </w:rPr>
        <w:t xml:space="preserve">devida </w:t>
      </w:r>
      <w:r>
        <w:rPr>
          <w:rFonts w:ascii="Century Gothic" w:hAnsi="Century Gothic"/>
          <w:sz w:val="20"/>
          <w:szCs w:val="20"/>
          <w:lang w:val="pt"/>
        </w:rPr>
        <w:t xml:space="preserve">utilização de recursos das esferas municipal, estadual e federal, e por atenderem rigorosamente as legislações específicas de cada Programa e/ou Proteção Social. Com a palavra, a Senhora Jurema Teresinha Feiten – Secretária Municipal de Cidadania e Assistência Social abordou sobre as </w:t>
      </w:r>
      <w:r>
        <w:rPr>
          <w:rFonts w:ascii="Century Gothic" w:hAnsi="Century Gothic"/>
          <w:b/>
          <w:bCs/>
          <w:sz w:val="20"/>
          <w:szCs w:val="20"/>
          <w:lang w:val="pt"/>
        </w:rPr>
        <w:t>tratativas de cursos em parceria do Serviço Nacional de Aprendizagem Rural - SENAR e do Polo UAB</w:t>
      </w:r>
      <w:r>
        <w:rPr>
          <w:rFonts w:ascii="Century Gothic" w:hAnsi="Century Gothic"/>
          <w:sz w:val="20"/>
          <w:szCs w:val="20"/>
          <w:lang w:val="pt"/>
        </w:rPr>
        <w:t xml:space="preserve"> para o presente exercicio, sendo a informação recebida com alegria pelos presentes. Os Conselheiros (as) também foram informados de que não recebemos doações de insumos da Empresa COPELMI Mineração LTDA como recebíamos mensalmente para a preparação de pães. Para informação dos Conselheiros (as) presentes, informamos que </w:t>
      </w:r>
      <w:r>
        <w:rPr>
          <w:rFonts w:ascii="Century Gothic" w:hAnsi="Century Gothic"/>
          <w:b/>
          <w:bCs/>
          <w:sz w:val="20"/>
          <w:szCs w:val="20"/>
          <w:lang w:val="pt"/>
        </w:rPr>
        <w:t>não houve novas inscrições e nem participações de servidores em novas capacitações</w:t>
      </w:r>
      <w:r>
        <w:rPr>
          <w:rFonts w:ascii="Century Gothic" w:hAnsi="Century Gothic"/>
          <w:b/>
          <w:bCs/>
          <w:sz w:val="20"/>
          <w:szCs w:val="20"/>
          <w:lang w:val="pt-BR"/>
        </w:rPr>
        <w:t xml:space="preserve"> até momento, </w:t>
      </w:r>
      <w:r>
        <w:rPr>
          <w:rFonts w:ascii="Century Gothic" w:hAnsi="Century Gothic"/>
          <w:sz w:val="20"/>
          <w:szCs w:val="20"/>
          <w:lang w:val="pt-BR"/>
        </w:rPr>
        <w:t>mas nos dias vinte e cinco (25) e vinte e seis (26) do corrente mês, a Senhora Jurema Teresinha Feiten – Secretária Municipal de Cidadania e Assistência Social e a Senhora Carla Cristina Franke de Siqueira – Coordenadora do Centro de Referência de Assistência Social – CRAS Santa Bárbara, participarão da oficina</w:t>
      </w:r>
      <w:r>
        <w:rPr>
          <w:rFonts w:ascii="Century Gothic" w:hAnsi="Century Gothic"/>
          <w:b/>
          <w:bCs/>
          <w:sz w:val="20"/>
          <w:szCs w:val="20"/>
          <w:lang w:val="pt-BR"/>
        </w:rPr>
        <w:t xml:space="preserve">: </w:t>
      </w:r>
      <w:r>
        <w:rPr>
          <w:rFonts w:ascii="Century Gothic" w:hAnsi="Century Gothic"/>
          <w:sz w:val="20"/>
          <w:szCs w:val="20"/>
          <w:lang w:val="pt-BR"/>
        </w:rPr>
        <w:t>O SUAS QUE TEMOS E O SUAS QUE QUEREMOS NO MUNICIPIO</w:t>
      </w:r>
      <w:r>
        <w:rPr>
          <w:rFonts w:ascii="Century Gothic" w:hAnsi="Century Gothic"/>
          <w:sz w:val="20"/>
          <w:szCs w:val="20"/>
          <w:lang w:val="pt"/>
        </w:rPr>
        <w:t xml:space="preserve">, este a ser ministrado pela FAMURS, sendo o pagamento da oficina e de diárias custeadas através do recurso do IGD SUAS. Após, esta Secretária Executiva procedeu a uma explanação sobre a situação em que a Gestora Municipal de Cidadania e Assistência Social encontrou os segmentos em que compoem esta Secretaria Municipal, sendo que esta concedeu a </w:t>
      </w:r>
      <w:r>
        <w:rPr>
          <w:rFonts w:ascii="Century Gothic" w:hAnsi="Century Gothic"/>
          <w:b/>
          <w:bCs/>
          <w:sz w:val="20"/>
          <w:szCs w:val="20"/>
          <w:lang w:val="pt"/>
        </w:rPr>
        <w:t xml:space="preserve">apoio do dia seis (06) do mês de janeiro até o dia cinco (05) do mês de fevereiro, </w:t>
      </w:r>
      <w:r>
        <w:rPr>
          <w:rFonts w:ascii="Century Gothic" w:hAnsi="Century Gothic"/>
          <w:sz w:val="20"/>
          <w:szCs w:val="20"/>
          <w:lang w:val="pt"/>
        </w:rPr>
        <w:t xml:space="preserve">onde constatado </w:t>
      </w:r>
      <w:r>
        <w:rPr>
          <w:rFonts w:ascii="Century Gothic" w:hAnsi="Century Gothic"/>
          <w:sz w:val="20"/>
          <w:szCs w:val="20"/>
          <w:lang w:val="pt-BR"/>
        </w:rPr>
        <w:t>inúmeras</w:t>
      </w:r>
      <w:r>
        <w:rPr>
          <w:rFonts w:ascii="Century Gothic" w:hAnsi="Century Gothic"/>
          <w:sz w:val="20"/>
          <w:szCs w:val="20"/>
          <w:lang w:val="pt"/>
        </w:rPr>
        <w:t xml:space="preserve"> pendências pela Gestão anterior, na elaboração de documentos e seus respectivos encaminhamentos, da realização de reuniões virtuais realizadas pelo Conselho Municipal dentre elas a aprovação de uma prestação de contas do Fundo Nacional de Assistência Social – FNAS, das dívidas com fornecedores e com instituições conveniadas, foram concedidas informações sobre o cidadão Paquistanês, da estrutura física encontrada em cada prédio e os aluguéis de imóveis, das melhorias em que estão sendo realizadas por esta nova Gestão Municipal, dentre outras informações</w:t>
      </w:r>
      <w:r>
        <w:rPr>
          <w:rFonts w:ascii="Century Gothic" w:hAnsi="Century Gothic"/>
          <w:b/>
          <w:bCs/>
          <w:sz w:val="20"/>
          <w:szCs w:val="20"/>
          <w:lang w:val="pt"/>
        </w:rPr>
        <w:t xml:space="preserve">, </w:t>
      </w:r>
      <w:r>
        <w:rPr>
          <w:rFonts w:ascii="Century Gothic" w:hAnsi="Century Gothic"/>
          <w:sz w:val="20"/>
          <w:szCs w:val="20"/>
          <w:lang w:val="pt"/>
        </w:rPr>
        <w:t xml:space="preserve">sendo estas discutidas pelos presentes, onde o apoio dos segmentos Governamental e da </w:t>
      </w:r>
      <w:bookmarkStart w:id="0" w:name="_GoBack"/>
      <w:bookmarkEnd w:id="0"/>
      <w:r>
        <w:rPr>
          <w:rFonts w:ascii="Century Gothic" w:hAnsi="Century Gothic"/>
          <w:sz w:val="20"/>
          <w:szCs w:val="20"/>
          <w:lang w:val="pt"/>
        </w:rPr>
        <w:t xml:space="preserve">Sociedade Civil foi de extrema importância ao Gestor Municipal, visando com isso a transparência do que está sendo realizado desde o início pela Gestora Municipal Jurema Teresinha Feiten e de seus Coordenadores. Também ficou pré estabelecido ao </w:t>
      </w:r>
      <w:r>
        <w:rPr>
          <w:rFonts w:ascii="Century Gothic" w:hAnsi="Century Gothic"/>
          <w:b/>
          <w:bCs/>
          <w:sz w:val="20"/>
          <w:szCs w:val="20"/>
          <w:lang w:val="pt"/>
        </w:rPr>
        <w:t>cronograma das reuniões para este exercicio</w:t>
      </w:r>
      <w:r>
        <w:rPr>
          <w:rFonts w:ascii="Century Gothic" w:hAnsi="Century Gothic"/>
          <w:sz w:val="20"/>
          <w:szCs w:val="20"/>
          <w:lang w:val="pt"/>
        </w:rPr>
        <w:t xml:space="preserve">, ficando assim estabelecidas: dia dezoito do mês de março (18/03), dia quinze do mês de abril (15/04), dia vinte do mês de maio (20/05), dia dezessete do mês de junho (17/06), dia quinze do mês de julho (15/07), dia dezenove do mês de agosto (19/08), dia dezesseis do mês de setembro (16/09), dia vinte e um do mês de outubro (21/10), dia dezoito do mês de novembro (18/11) e dia dezesseis do mês de dezembro (16/12), podendo tais datas serem alteradas se houver a necessidade, permanecendo ao mesmo horário e local: Sala de reuniões do Centro de Referência de Assistência Social – CRAS Santa Bárbara, sito a Rua Doutor Roberto Cardoso, nº 213 – bairro Santa Bárbara, e horário: 09h30m. Nada mais havendo a tratar, a Senhora Jurema Teresinha Feiten – Secretária Municipal de Cidadania e Assistência Social agradeceu a presença de todos, encerrando a presente plenária. Para constar, eu, </w:t>
      </w:r>
      <w:r>
        <w:rPr>
          <w:rFonts w:ascii="Century Gothic" w:hAnsi="Century Gothic"/>
          <w:b/>
          <w:bCs/>
          <w:sz w:val="20"/>
          <w:szCs w:val="20"/>
          <w:lang w:val="pt"/>
        </w:rPr>
        <w:t>Juliana Silveira de Abreu — Secretária Executiva</w:t>
      </w:r>
      <w:r>
        <w:rPr>
          <w:rFonts w:ascii="Century Gothic" w:hAnsi="Century Gothic"/>
          <w:sz w:val="20"/>
          <w:szCs w:val="20"/>
          <w:lang w:val="pt"/>
        </w:rPr>
        <w:t xml:space="preserve"> lavrei a presente ata que, será assinada por mim e pelas </w:t>
      </w:r>
      <w:r>
        <w:rPr>
          <w:rFonts w:ascii="Century Gothic" w:hAnsi="Century Gothic"/>
          <w:b/>
          <w:bCs/>
          <w:sz w:val="20"/>
          <w:szCs w:val="20"/>
          <w:lang w:val="pt"/>
        </w:rPr>
        <w:t>Senhoras Jurema Teresinha Feiten – Secretária Municipal de Cidadania e Assistência Social, a Senhora Lilian Ketli de Souza – Presidenta e a Senhorita Morgana de Oliveira Ferreira – Vice Presidenta,</w:t>
      </w:r>
      <w:r>
        <w:rPr>
          <w:rFonts w:ascii="Century Gothic" w:hAnsi="Century Gothic"/>
          <w:sz w:val="20"/>
          <w:szCs w:val="20"/>
          <w:lang w:val="pt"/>
        </w:rPr>
        <w:t xml:space="preserve"> permanecendo as demais assinaturas registradas no livro especial de presenças. Arroio dos Ratos, 19 de fevereiro de 2025.</w:t>
      </w:r>
    </w:p>
    <w:sectPr>
      <w:headerReference r:id="rId5" w:type="default"/>
      <w:footerReference r:id="rId6" w:type="default"/>
      <w:pgSz w:w="11920" w:h="16840"/>
      <w:pgMar w:top="850" w:right="1417" w:bottom="283" w:left="1417" w:header="284" w:footer="22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530FE">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Rua Doutor Roberto Cardoso, nº 213 – Bairro: Santa Bárbara – Arroio dos Ratos/RS</w:t>
    </w:r>
  </w:p>
  <w:p w14:paraId="50F5595D">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Telefone: 51 36564341 – E-mail: cmas@arroiodosratos.rs.gov.br</w:t>
    </w:r>
  </w:p>
  <w:p w14:paraId="6F721D7F">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 xml:space="preserve">Página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PAGE</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1</w:t>
    </w:r>
    <w:r>
      <w:rPr>
        <w:rFonts w:ascii="Century Gothic" w:hAnsi="Century Gothic" w:cs="Century Gothic"/>
        <w:b/>
        <w:bCs/>
        <w:color w:val="000000"/>
        <w:sz w:val="20"/>
        <w:szCs w:val="20"/>
      </w:rPr>
      <w:fldChar w:fldCharType="end"/>
    </w:r>
    <w:r>
      <w:rPr>
        <w:rFonts w:ascii="Century Gothic" w:hAnsi="Century Gothic" w:cs="Century Gothic"/>
        <w:b/>
        <w:bCs/>
        <w:color w:val="000000"/>
        <w:sz w:val="20"/>
        <w:szCs w:val="20"/>
      </w:rPr>
      <w:t xml:space="preserve"> de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NUMPAGES</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2</w:t>
    </w:r>
    <w:r>
      <w:rPr>
        <w:rFonts w:ascii="Century Gothic" w:hAnsi="Century Gothic" w:cs="Century Gothic"/>
        <w:b/>
        <w:bCs/>
        <w:color w:val="000000"/>
        <w:sz w:val="20"/>
        <w:szCs w:val="20"/>
      </w:rPr>
      <w:fldChar w:fldCharType="end"/>
    </w:r>
  </w:p>
  <w:p w14:paraId="07E293BE">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eastAsia="Century Gothic"/>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AA71D">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jc w:val="center"/>
      <w:rPr>
        <w:rFonts w:ascii="Century Gothic" w:hAnsi="Century Gothic" w:eastAsia="Century Gothic"/>
        <w:b/>
        <w:color w:val="000000"/>
        <w:sz w:val="24"/>
        <w:szCs w:val="24"/>
      </w:rPr>
    </w:pPr>
    <w:r>
      <w:drawing>
        <wp:anchor distT="0" distB="0" distL="114300" distR="114300" simplePos="0" relativeHeight="251659264" behindDoc="0" locked="0" layoutInCell="1" allowOverlap="1">
          <wp:simplePos x="0" y="0"/>
          <wp:positionH relativeFrom="column">
            <wp:posOffset>219075</wp:posOffset>
          </wp:positionH>
          <wp:positionV relativeFrom="paragraph">
            <wp:posOffset>127000</wp:posOffset>
          </wp:positionV>
          <wp:extent cx="1024890" cy="546100"/>
          <wp:effectExtent l="0" t="0" r="0" b="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4890" cy="546100"/>
                  </a:xfrm>
                  <a:prstGeom prst="rect">
                    <a:avLst/>
                  </a:prstGeom>
                  <a:noFill/>
                  <a:ln>
                    <a:noFill/>
                  </a:ln>
                  <a:effectLst/>
                </pic:spPr>
              </pic:pic>
            </a:graphicData>
          </a:graphic>
        </wp:anchor>
      </w:drawing>
    </w:r>
  </w:p>
  <w:p w14:paraId="51A33BC6">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ind w:firstLine="2281" w:firstLineChars="950"/>
      <w:rPr>
        <w:rFonts w:ascii="Century Gothic" w:hAnsi="Century Gothic" w:eastAsia="Century Gothic"/>
        <w:b/>
        <w:color w:val="000000"/>
        <w:sz w:val="24"/>
        <w:szCs w:val="24"/>
      </w:rPr>
    </w:pPr>
    <w:r>
      <w:rPr>
        <w:rFonts w:ascii="Century Gothic" w:hAnsi="Century Gothic" w:eastAsia="Century Gothic"/>
        <w:b/>
        <w:color w:val="000000"/>
        <w:sz w:val="24"/>
        <w:szCs w:val="24"/>
      </w:rPr>
      <w:t>Conselho Municipal de Assistência Social – CMAS</w:t>
    </w:r>
  </w:p>
  <w:p w14:paraId="1A86EE80">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rPr>
        <w:rFonts w:ascii="Century Gothic" w:hAnsi="Century Gothic" w:eastAsia="Century Gothic"/>
        <w:b/>
        <w:color w:val="000000"/>
        <w:sz w:val="24"/>
        <w:szCs w:val="24"/>
      </w:rPr>
    </w:pPr>
    <w:r>
      <w:rPr>
        <w:rFonts w:ascii="Century Gothic" w:hAnsi="Century Gothic" w:eastAsia="Century Gothic"/>
        <w:b/>
        <w:color w:val="000000"/>
        <w:sz w:val="24"/>
        <w:szCs w:val="24"/>
      </w:rPr>
      <w:t xml:space="preserve">                 </w:t>
    </w:r>
    <w:r>
      <w:rPr>
        <w:rFonts w:hint="default" w:ascii="Century Gothic" w:hAnsi="Century Gothic" w:eastAsia="Century Gothic"/>
        <w:b/>
        <w:color w:val="000000"/>
        <w:sz w:val="24"/>
        <w:szCs w:val="24"/>
        <w:lang w:val="pt-BR"/>
      </w:rPr>
      <w:t xml:space="preserve">                                  </w:t>
    </w:r>
    <w:r>
      <w:rPr>
        <w:rFonts w:ascii="Century Gothic" w:hAnsi="Century Gothic" w:eastAsia="Century Gothic"/>
        <w:b/>
        <w:color w:val="000000"/>
        <w:sz w:val="24"/>
        <w:szCs w:val="24"/>
      </w:rPr>
      <w:t xml:space="preserve">       Arroio dos Ratos/RS</w:t>
    </w:r>
  </w:p>
  <w:p w14:paraId="45785A26">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hyphenationZone w:val="425"/>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4B3"/>
    <w:rsid w:val="000034AF"/>
    <w:rsid w:val="000112EF"/>
    <w:rsid w:val="0001733E"/>
    <w:rsid w:val="000223FA"/>
    <w:rsid w:val="00032BF7"/>
    <w:rsid w:val="00033CC2"/>
    <w:rsid w:val="00036324"/>
    <w:rsid w:val="00042D70"/>
    <w:rsid w:val="000501C3"/>
    <w:rsid w:val="00063C62"/>
    <w:rsid w:val="00065B25"/>
    <w:rsid w:val="00066504"/>
    <w:rsid w:val="000775FD"/>
    <w:rsid w:val="0008655B"/>
    <w:rsid w:val="00087518"/>
    <w:rsid w:val="000A0F9A"/>
    <w:rsid w:val="000A0FDD"/>
    <w:rsid w:val="000A32EF"/>
    <w:rsid w:val="000B0FFC"/>
    <w:rsid w:val="000D6841"/>
    <w:rsid w:val="000F207C"/>
    <w:rsid w:val="00106F8C"/>
    <w:rsid w:val="00116452"/>
    <w:rsid w:val="001468AF"/>
    <w:rsid w:val="00156367"/>
    <w:rsid w:val="00160B8B"/>
    <w:rsid w:val="00161BE3"/>
    <w:rsid w:val="00162817"/>
    <w:rsid w:val="00192624"/>
    <w:rsid w:val="001A1E24"/>
    <w:rsid w:val="001A3F96"/>
    <w:rsid w:val="001A582B"/>
    <w:rsid w:val="001B2FA8"/>
    <w:rsid w:val="001D712D"/>
    <w:rsid w:val="001E7257"/>
    <w:rsid w:val="001F227E"/>
    <w:rsid w:val="00220639"/>
    <w:rsid w:val="002657F7"/>
    <w:rsid w:val="00285E3D"/>
    <w:rsid w:val="00294B57"/>
    <w:rsid w:val="002A2F9E"/>
    <w:rsid w:val="002C007C"/>
    <w:rsid w:val="002D076D"/>
    <w:rsid w:val="002D2439"/>
    <w:rsid w:val="002E0A8A"/>
    <w:rsid w:val="002E162E"/>
    <w:rsid w:val="002E4128"/>
    <w:rsid w:val="00304A73"/>
    <w:rsid w:val="0034608B"/>
    <w:rsid w:val="00360AB8"/>
    <w:rsid w:val="00365EB8"/>
    <w:rsid w:val="00371A4B"/>
    <w:rsid w:val="00373D64"/>
    <w:rsid w:val="00377B88"/>
    <w:rsid w:val="0038065B"/>
    <w:rsid w:val="00383D85"/>
    <w:rsid w:val="00386894"/>
    <w:rsid w:val="0039415D"/>
    <w:rsid w:val="003A1B8E"/>
    <w:rsid w:val="003A5F27"/>
    <w:rsid w:val="003B22B6"/>
    <w:rsid w:val="003B5274"/>
    <w:rsid w:val="003C2978"/>
    <w:rsid w:val="003C4230"/>
    <w:rsid w:val="003E112B"/>
    <w:rsid w:val="003E5937"/>
    <w:rsid w:val="003E6DE5"/>
    <w:rsid w:val="003F06C4"/>
    <w:rsid w:val="00401BEA"/>
    <w:rsid w:val="00434564"/>
    <w:rsid w:val="004450EA"/>
    <w:rsid w:val="00451681"/>
    <w:rsid w:val="00456D73"/>
    <w:rsid w:val="00457CF7"/>
    <w:rsid w:val="00461720"/>
    <w:rsid w:val="004723EB"/>
    <w:rsid w:val="004854F4"/>
    <w:rsid w:val="004A587F"/>
    <w:rsid w:val="004C70A0"/>
    <w:rsid w:val="004C7104"/>
    <w:rsid w:val="004D2879"/>
    <w:rsid w:val="004F0481"/>
    <w:rsid w:val="00505BBE"/>
    <w:rsid w:val="005060F8"/>
    <w:rsid w:val="00526DF3"/>
    <w:rsid w:val="00537F98"/>
    <w:rsid w:val="00541137"/>
    <w:rsid w:val="005415A5"/>
    <w:rsid w:val="005702E3"/>
    <w:rsid w:val="00580F45"/>
    <w:rsid w:val="005812AA"/>
    <w:rsid w:val="00583E59"/>
    <w:rsid w:val="005925C6"/>
    <w:rsid w:val="005B0EB9"/>
    <w:rsid w:val="005C4FD3"/>
    <w:rsid w:val="006120B1"/>
    <w:rsid w:val="0061240D"/>
    <w:rsid w:val="006352B5"/>
    <w:rsid w:val="00635A42"/>
    <w:rsid w:val="006363D3"/>
    <w:rsid w:val="00637D5F"/>
    <w:rsid w:val="0064260A"/>
    <w:rsid w:val="00645AF7"/>
    <w:rsid w:val="00687192"/>
    <w:rsid w:val="0069358A"/>
    <w:rsid w:val="006A39E6"/>
    <w:rsid w:val="006B60B9"/>
    <w:rsid w:val="006D3A35"/>
    <w:rsid w:val="006D6600"/>
    <w:rsid w:val="006D673F"/>
    <w:rsid w:val="006F0675"/>
    <w:rsid w:val="006F79F5"/>
    <w:rsid w:val="00703D01"/>
    <w:rsid w:val="00705533"/>
    <w:rsid w:val="00730A12"/>
    <w:rsid w:val="00760291"/>
    <w:rsid w:val="00786B35"/>
    <w:rsid w:val="007A019B"/>
    <w:rsid w:val="007A6DD0"/>
    <w:rsid w:val="007C2EA3"/>
    <w:rsid w:val="007D6A0B"/>
    <w:rsid w:val="007F4445"/>
    <w:rsid w:val="008054E7"/>
    <w:rsid w:val="008125E1"/>
    <w:rsid w:val="00813BEB"/>
    <w:rsid w:val="00814A16"/>
    <w:rsid w:val="00837A49"/>
    <w:rsid w:val="008571FF"/>
    <w:rsid w:val="00857C4B"/>
    <w:rsid w:val="008655CD"/>
    <w:rsid w:val="00881C7F"/>
    <w:rsid w:val="00885C6C"/>
    <w:rsid w:val="008A3762"/>
    <w:rsid w:val="008B7F81"/>
    <w:rsid w:val="008F146F"/>
    <w:rsid w:val="009174FF"/>
    <w:rsid w:val="0093328B"/>
    <w:rsid w:val="009441EB"/>
    <w:rsid w:val="00945694"/>
    <w:rsid w:val="009519A0"/>
    <w:rsid w:val="00952D74"/>
    <w:rsid w:val="00962479"/>
    <w:rsid w:val="00962CFA"/>
    <w:rsid w:val="009656B6"/>
    <w:rsid w:val="00972A7E"/>
    <w:rsid w:val="00980141"/>
    <w:rsid w:val="00995D36"/>
    <w:rsid w:val="0099788C"/>
    <w:rsid w:val="009C63F2"/>
    <w:rsid w:val="009D4681"/>
    <w:rsid w:val="009F4F61"/>
    <w:rsid w:val="009F6976"/>
    <w:rsid w:val="00A27DD4"/>
    <w:rsid w:val="00A3083A"/>
    <w:rsid w:val="00A32319"/>
    <w:rsid w:val="00A355FD"/>
    <w:rsid w:val="00A36A76"/>
    <w:rsid w:val="00A53504"/>
    <w:rsid w:val="00A55339"/>
    <w:rsid w:val="00A6574E"/>
    <w:rsid w:val="00A90364"/>
    <w:rsid w:val="00A90D76"/>
    <w:rsid w:val="00A9402A"/>
    <w:rsid w:val="00AA634D"/>
    <w:rsid w:val="00AA6AAB"/>
    <w:rsid w:val="00AB6AA6"/>
    <w:rsid w:val="00AC610A"/>
    <w:rsid w:val="00AD7684"/>
    <w:rsid w:val="00AE7703"/>
    <w:rsid w:val="00B106A8"/>
    <w:rsid w:val="00B10B51"/>
    <w:rsid w:val="00B15445"/>
    <w:rsid w:val="00B20CF9"/>
    <w:rsid w:val="00B52183"/>
    <w:rsid w:val="00B536E0"/>
    <w:rsid w:val="00B70CED"/>
    <w:rsid w:val="00B97ACF"/>
    <w:rsid w:val="00BB3F25"/>
    <w:rsid w:val="00BB7AD7"/>
    <w:rsid w:val="00BC0EA3"/>
    <w:rsid w:val="00BC309D"/>
    <w:rsid w:val="00BD3551"/>
    <w:rsid w:val="00BD4F1C"/>
    <w:rsid w:val="00BE0994"/>
    <w:rsid w:val="00BE385D"/>
    <w:rsid w:val="00BF196D"/>
    <w:rsid w:val="00C0511D"/>
    <w:rsid w:val="00C23131"/>
    <w:rsid w:val="00C30B01"/>
    <w:rsid w:val="00C30D47"/>
    <w:rsid w:val="00C43248"/>
    <w:rsid w:val="00C50DF8"/>
    <w:rsid w:val="00C52836"/>
    <w:rsid w:val="00C54E60"/>
    <w:rsid w:val="00C623AC"/>
    <w:rsid w:val="00C72C52"/>
    <w:rsid w:val="00C73301"/>
    <w:rsid w:val="00C734B3"/>
    <w:rsid w:val="00C83963"/>
    <w:rsid w:val="00C954B4"/>
    <w:rsid w:val="00C95828"/>
    <w:rsid w:val="00CA175E"/>
    <w:rsid w:val="00CC4B0A"/>
    <w:rsid w:val="00CD1F45"/>
    <w:rsid w:val="00CE0D07"/>
    <w:rsid w:val="00CE1E6A"/>
    <w:rsid w:val="00CE5BED"/>
    <w:rsid w:val="00D008E7"/>
    <w:rsid w:val="00D05C54"/>
    <w:rsid w:val="00D11DA2"/>
    <w:rsid w:val="00D123AD"/>
    <w:rsid w:val="00D13EAC"/>
    <w:rsid w:val="00D1589D"/>
    <w:rsid w:val="00D17B00"/>
    <w:rsid w:val="00D215A2"/>
    <w:rsid w:val="00D32D75"/>
    <w:rsid w:val="00D54C1B"/>
    <w:rsid w:val="00D609E0"/>
    <w:rsid w:val="00D92419"/>
    <w:rsid w:val="00DB2C0A"/>
    <w:rsid w:val="00DC032C"/>
    <w:rsid w:val="00DC177B"/>
    <w:rsid w:val="00DD385A"/>
    <w:rsid w:val="00DD5FFC"/>
    <w:rsid w:val="00DD754B"/>
    <w:rsid w:val="00DF6D6D"/>
    <w:rsid w:val="00E00F20"/>
    <w:rsid w:val="00E14765"/>
    <w:rsid w:val="00E32417"/>
    <w:rsid w:val="00E407C8"/>
    <w:rsid w:val="00E43852"/>
    <w:rsid w:val="00E51CAC"/>
    <w:rsid w:val="00E53701"/>
    <w:rsid w:val="00E73D5F"/>
    <w:rsid w:val="00E95BC8"/>
    <w:rsid w:val="00EA021F"/>
    <w:rsid w:val="00EA4F41"/>
    <w:rsid w:val="00EB7FCB"/>
    <w:rsid w:val="00EC11D3"/>
    <w:rsid w:val="00EC5201"/>
    <w:rsid w:val="00ED5420"/>
    <w:rsid w:val="00EE03E5"/>
    <w:rsid w:val="00EE3A05"/>
    <w:rsid w:val="00EE5074"/>
    <w:rsid w:val="00EF2E29"/>
    <w:rsid w:val="00F2360A"/>
    <w:rsid w:val="00F4017C"/>
    <w:rsid w:val="00F55587"/>
    <w:rsid w:val="00F67664"/>
    <w:rsid w:val="00F93EAC"/>
    <w:rsid w:val="00FA457E"/>
    <w:rsid w:val="00FC4A4E"/>
    <w:rsid w:val="00FD1790"/>
    <w:rsid w:val="011A0DD3"/>
    <w:rsid w:val="011F7565"/>
    <w:rsid w:val="01803CF9"/>
    <w:rsid w:val="02B41654"/>
    <w:rsid w:val="048513F2"/>
    <w:rsid w:val="04F24F10"/>
    <w:rsid w:val="055F7036"/>
    <w:rsid w:val="05793607"/>
    <w:rsid w:val="05DB7E28"/>
    <w:rsid w:val="05EE2373"/>
    <w:rsid w:val="05FE030E"/>
    <w:rsid w:val="063C471B"/>
    <w:rsid w:val="064B35BC"/>
    <w:rsid w:val="07190B35"/>
    <w:rsid w:val="071D3CB8"/>
    <w:rsid w:val="087826EF"/>
    <w:rsid w:val="088C3CD7"/>
    <w:rsid w:val="093F04BA"/>
    <w:rsid w:val="096F3207"/>
    <w:rsid w:val="0A2164CA"/>
    <w:rsid w:val="0A4208EC"/>
    <w:rsid w:val="0B7216D3"/>
    <w:rsid w:val="0BD30473"/>
    <w:rsid w:val="0C5332E1"/>
    <w:rsid w:val="0C560A4C"/>
    <w:rsid w:val="0C8D23CB"/>
    <w:rsid w:val="0D4C5AE1"/>
    <w:rsid w:val="0DB3678A"/>
    <w:rsid w:val="0DD359BA"/>
    <w:rsid w:val="0DDC624B"/>
    <w:rsid w:val="0E52758D"/>
    <w:rsid w:val="0E7E0D63"/>
    <w:rsid w:val="0F89489D"/>
    <w:rsid w:val="0FDF195F"/>
    <w:rsid w:val="102D003B"/>
    <w:rsid w:val="11106246"/>
    <w:rsid w:val="118770D0"/>
    <w:rsid w:val="12E66210"/>
    <w:rsid w:val="136D5C6B"/>
    <w:rsid w:val="13CA6005"/>
    <w:rsid w:val="156C5731"/>
    <w:rsid w:val="1634517A"/>
    <w:rsid w:val="1644033D"/>
    <w:rsid w:val="177F4092"/>
    <w:rsid w:val="17B374D2"/>
    <w:rsid w:val="17EE71F0"/>
    <w:rsid w:val="1B121A28"/>
    <w:rsid w:val="1BC30DE4"/>
    <w:rsid w:val="1C686651"/>
    <w:rsid w:val="1C835C95"/>
    <w:rsid w:val="1CE77981"/>
    <w:rsid w:val="1DE01993"/>
    <w:rsid w:val="1E29560A"/>
    <w:rsid w:val="1EF85589"/>
    <w:rsid w:val="1F6108A8"/>
    <w:rsid w:val="202B0253"/>
    <w:rsid w:val="213C7197"/>
    <w:rsid w:val="215A0945"/>
    <w:rsid w:val="220B656A"/>
    <w:rsid w:val="23C864C0"/>
    <w:rsid w:val="243C2E81"/>
    <w:rsid w:val="244104E5"/>
    <w:rsid w:val="248A510F"/>
    <w:rsid w:val="24BF305C"/>
    <w:rsid w:val="250207C6"/>
    <w:rsid w:val="250C10D6"/>
    <w:rsid w:val="25CF4697"/>
    <w:rsid w:val="26EF6CED"/>
    <w:rsid w:val="274E3D32"/>
    <w:rsid w:val="27984386"/>
    <w:rsid w:val="29955382"/>
    <w:rsid w:val="2A1B27AA"/>
    <w:rsid w:val="2C053075"/>
    <w:rsid w:val="2C921E2C"/>
    <w:rsid w:val="2D1B430E"/>
    <w:rsid w:val="2D8E11D9"/>
    <w:rsid w:val="2DB71D28"/>
    <w:rsid w:val="2DC72229"/>
    <w:rsid w:val="2E3470B1"/>
    <w:rsid w:val="2EA84745"/>
    <w:rsid w:val="2ECF4B4D"/>
    <w:rsid w:val="2EE119D4"/>
    <w:rsid w:val="2EFA156F"/>
    <w:rsid w:val="2F917E6B"/>
    <w:rsid w:val="2F956FA1"/>
    <w:rsid w:val="30DE59AA"/>
    <w:rsid w:val="30E40924"/>
    <w:rsid w:val="30FD1C6F"/>
    <w:rsid w:val="312241A9"/>
    <w:rsid w:val="318B6EB5"/>
    <w:rsid w:val="322B52D1"/>
    <w:rsid w:val="32735B9B"/>
    <w:rsid w:val="32787BEF"/>
    <w:rsid w:val="3309404A"/>
    <w:rsid w:val="333C576D"/>
    <w:rsid w:val="3505783A"/>
    <w:rsid w:val="353D4C83"/>
    <w:rsid w:val="35B20725"/>
    <w:rsid w:val="35D466DB"/>
    <w:rsid w:val="36923616"/>
    <w:rsid w:val="36B165EE"/>
    <w:rsid w:val="36BF402F"/>
    <w:rsid w:val="373828E7"/>
    <w:rsid w:val="374D5F48"/>
    <w:rsid w:val="382F191F"/>
    <w:rsid w:val="383047E4"/>
    <w:rsid w:val="3845656E"/>
    <w:rsid w:val="3A2336C1"/>
    <w:rsid w:val="3A613357"/>
    <w:rsid w:val="3AEE643E"/>
    <w:rsid w:val="3AF86D4E"/>
    <w:rsid w:val="3CA80254"/>
    <w:rsid w:val="3D2518E1"/>
    <w:rsid w:val="3D986A05"/>
    <w:rsid w:val="3E18436C"/>
    <w:rsid w:val="3EE427BB"/>
    <w:rsid w:val="3F0B080D"/>
    <w:rsid w:val="3F553D74"/>
    <w:rsid w:val="3FB2275A"/>
    <w:rsid w:val="424C22A0"/>
    <w:rsid w:val="429E4757"/>
    <w:rsid w:val="42EC5ED9"/>
    <w:rsid w:val="439F338F"/>
    <w:rsid w:val="442126D3"/>
    <w:rsid w:val="444D3CE1"/>
    <w:rsid w:val="446B007E"/>
    <w:rsid w:val="45A91E42"/>
    <w:rsid w:val="45FB3C6E"/>
    <w:rsid w:val="467D5A33"/>
    <w:rsid w:val="494C6E4D"/>
    <w:rsid w:val="496E4F80"/>
    <w:rsid w:val="4A2026A9"/>
    <w:rsid w:val="4A9329E8"/>
    <w:rsid w:val="4B7E16EB"/>
    <w:rsid w:val="4BB27207"/>
    <w:rsid w:val="4BCE3D5D"/>
    <w:rsid w:val="4BE7226B"/>
    <w:rsid w:val="4D7E6C33"/>
    <w:rsid w:val="4DC91D7D"/>
    <w:rsid w:val="4E133297"/>
    <w:rsid w:val="4EC00844"/>
    <w:rsid w:val="4F400A92"/>
    <w:rsid w:val="4F4A2550"/>
    <w:rsid w:val="4FAF23CA"/>
    <w:rsid w:val="4FE0641D"/>
    <w:rsid w:val="50D57B87"/>
    <w:rsid w:val="50DF2ABC"/>
    <w:rsid w:val="514733E5"/>
    <w:rsid w:val="52126331"/>
    <w:rsid w:val="52F34834"/>
    <w:rsid w:val="53E57848"/>
    <w:rsid w:val="53F0354B"/>
    <w:rsid w:val="5423076A"/>
    <w:rsid w:val="54701694"/>
    <w:rsid w:val="54E15BE1"/>
    <w:rsid w:val="55291116"/>
    <w:rsid w:val="563B215A"/>
    <w:rsid w:val="56AC6B69"/>
    <w:rsid w:val="56C13564"/>
    <w:rsid w:val="574C483B"/>
    <w:rsid w:val="577E3137"/>
    <w:rsid w:val="58113D88"/>
    <w:rsid w:val="58C13C9A"/>
    <w:rsid w:val="58F15186"/>
    <w:rsid w:val="59BA0254"/>
    <w:rsid w:val="59CF0866"/>
    <w:rsid w:val="5A5C523B"/>
    <w:rsid w:val="5B3E64BE"/>
    <w:rsid w:val="5CC70C95"/>
    <w:rsid w:val="5D487B98"/>
    <w:rsid w:val="5D5647D7"/>
    <w:rsid w:val="5E192B27"/>
    <w:rsid w:val="5E552C6A"/>
    <w:rsid w:val="5F2F41B6"/>
    <w:rsid w:val="5F45359F"/>
    <w:rsid w:val="60D1021F"/>
    <w:rsid w:val="60D729EC"/>
    <w:rsid w:val="60DB6BC8"/>
    <w:rsid w:val="60E14599"/>
    <w:rsid w:val="61F401C1"/>
    <w:rsid w:val="627C0DFD"/>
    <w:rsid w:val="62F67F60"/>
    <w:rsid w:val="63DB2466"/>
    <w:rsid w:val="63FA2C48"/>
    <w:rsid w:val="6454321D"/>
    <w:rsid w:val="659009AD"/>
    <w:rsid w:val="679056FB"/>
    <w:rsid w:val="69177CA3"/>
    <w:rsid w:val="6936532B"/>
    <w:rsid w:val="69B81DCB"/>
    <w:rsid w:val="69CB10A2"/>
    <w:rsid w:val="6A774798"/>
    <w:rsid w:val="6B4D24D8"/>
    <w:rsid w:val="6B9835D0"/>
    <w:rsid w:val="6C5C1FC1"/>
    <w:rsid w:val="6CCB618B"/>
    <w:rsid w:val="6CCE130E"/>
    <w:rsid w:val="6CD3410C"/>
    <w:rsid w:val="6D2111B8"/>
    <w:rsid w:val="6D98205C"/>
    <w:rsid w:val="6E04718D"/>
    <w:rsid w:val="6F4A5895"/>
    <w:rsid w:val="6F77456A"/>
    <w:rsid w:val="6F9B5FA9"/>
    <w:rsid w:val="702366FA"/>
    <w:rsid w:val="70F5489F"/>
    <w:rsid w:val="712C543B"/>
    <w:rsid w:val="7198256C"/>
    <w:rsid w:val="728119F0"/>
    <w:rsid w:val="73892462"/>
    <w:rsid w:val="73EA5BE1"/>
    <w:rsid w:val="74580794"/>
    <w:rsid w:val="74CD2FD2"/>
    <w:rsid w:val="758F69E8"/>
    <w:rsid w:val="75FD0222"/>
    <w:rsid w:val="76633571"/>
    <w:rsid w:val="778A559C"/>
    <w:rsid w:val="79576A53"/>
    <w:rsid w:val="7AB333F5"/>
    <w:rsid w:val="7AE62329"/>
    <w:rsid w:val="7B8637EC"/>
    <w:rsid w:val="7BF22EDD"/>
    <w:rsid w:val="7C5F249A"/>
    <w:rsid w:val="7E862C5D"/>
    <w:rsid w:val="7F1A2313"/>
    <w:rsid w:val="7FA90D2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pt-BR" w:bidi="ar-SA"/>
    </w:rPr>
  </w:style>
  <w:style w:type="paragraph" w:styleId="2">
    <w:name w:val="heading 1"/>
    <w:basedOn w:val="1"/>
    <w:next w:val="1"/>
    <w:link w:val="34"/>
    <w:qFormat/>
    <w:uiPriority w:val="9"/>
    <w:pPr>
      <w:keepNext/>
      <w:keepLines/>
      <w:spacing w:before="480"/>
      <w:outlineLvl w:val="0"/>
    </w:pPr>
    <w:rPr>
      <w:rFonts w:ascii="Arial" w:hAnsi="Arial" w:eastAsia="Arial" w:cs="Arial"/>
      <w:sz w:val="40"/>
      <w:szCs w:val="40"/>
    </w:rPr>
  </w:style>
  <w:style w:type="paragraph" w:styleId="3">
    <w:name w:val="heading 2"/>
    <w:basedOn w:val="1"/>
    <w:next w:val="1"/>
    <w:link w:val="35"/>
    <w:qFormat/>
    <w:uiPriority w:val="9"/>
    <w:pPr>
      <w:keepNext/>
      <w:keepLines/>
      <w:spacing w:before="360"/>
      <w:outlineLvl w:val="1"/>
    </w:pPr>
    <w:rPr>
      <w:rFonts w:ascii="Arial" w:hAnsi="Arial" w:eastAsia="Arial" w:cs="Arial"/>
      <w:sz w:val="34"/>
    </w:rPr>
  </w:style>
  <w:style w:type="paragraph" w:styleId="4">
    <w:name w:val="heading 3"/>
    <w:basedOn w:val="1"/>
    <w:next w:val="1"/>
    <w:link w:val="36"/>
    <w:qFormat/>
    <w:uiPriority w:val="9"/>
    <w:pPr>
      <w:keepNext/>
      <w:keepLines/>
      <w:spacing w:before="320"/>
      <w:outlineLvl w:val="2"/>
    </w:pPr>
    <w:rPr>
      <w:rFonts w:ascii="Arial" w:hAnsi="Arial" w:eastAsia="Arial" w:cs="Arial"/>
      <w:sz w:val="30"/>
      <w:szCs w:val="30"/>
    </w:rPr>
  </w:style>
  <w:style w:type="paragraph" w:styleId="5">
    <w:name w:val="heading 4"/>
    <w:basedOn w:val="1"/>
    <w:next w:val="1"/>
    <w:link w:val="37"/>
    <w:qFormat/>
    <w:uiPriority w:val="9"/>
    <w:pPr>
      <w:keepNext/>
      <w:keepLines/>
      <w:spacing w:before="320"/>
      <w:outlineLvl w:val="3"/>
    </w:pPr>
    <w:rPr>
      <w:rFonts w:ascii="Arial" w:hAnsi="Arial" w:eastAsia="Arial" w:cs="Arial"/>
      <w:b/>
      <w:bCs/>
      <w:sz w:val="26"/>
      <w:szCs w:val="26"/>
    </w:rPr>
  </w:style>
  <w:style w:type="paragraph" w:styleId="6">
    <w:name w:val="heading 5"/>
    <w:basedOn w:val="1"/>
    <w:next w:val="1"/>
    <w:link w:val="38"/>
    <w:qFormat/>
    <w:uiPriority w:val="9"/>
    <w:pPr>
      <w:keepNext/>
      <w:keepLines/>
      <w:spacing w:before="320"/>
      <w:outlineLvl w:val="4"/>
    </w:pPr>
    <w:rPr>
      <w:rFonts w:ascii="Arial" w:hAnsi="Arial" w:eastAsia="Arial" w:cs="Arial"/>
      <w:b/>
      <w:bCs/>
      <w:sz w:val="24"/>
      <w:szCs w:val="24"/>
    </w:rPr>
  </w:style>
  <w:style w:type="paragraph" w:styleId="7">
    <w:name w:val="heading 6"/>
    <w:basedOn w:val="1"/>
    <w:next w:val="1"/>
    <w:link w:val="39"/>
    <w:qFormat/>
    <w:uiPriority w:val="9"/>
    <w:pPr>
      <w:keepNext/>
      <w:keepLines/>
      <w:spacing w:before="320"/>
      <w:outlineLvl w:val="5"/>
    </w:pPr>
    <w:rPr>
      <w:rFonts w:ascii="Arial" w:hAnsi="Arial" w:eastAsia="Arial" w:cs="Arial"/>
      <w:b/>
      <w:bCs/>
    </w:rPr>
  </w:style>
  <w:style w:type="paragraph" w:styleId="8">
    <w:name w:val="heading 7"/>
    <w:basedOn w:val="1"/>
    <w:next w:val="1"/>
    <w:link w:val="40"/>
    <w:qFormat/>
    <w:uiPriority w:val="9"/>
    <w:pPr>
      <w:keepNext/>
      <w:keepLines/>
      <w:spacing w:before="320"/>
      <w:outlineLvl w:val="6"/>
    </w:pPr>
    <w:rPr>
      <w:rFonts w:ascii="Arial" w:hAnsi="Arial" w:eastAsia="Arial" w:cs="Arial"/>
      <w:b/>
      <w:bCs/>
      <w:i/>
      <w:iCs/>
    </w:rPr>
  </w:style>
  <w:style w:type="paragraph" w:styleId="9">
    <w:name w:val="heading 8"/>
    <w:basedOn w:val="1"/>
    <w:next w:val="1"/>
    <w:link w:val="41"/>
    <w:qFormat/>
    <w:uiPriority w:val="9"/>
    <w:pPr>
      <w:keepNext/>
      <w:keepLines/>
      <w:spacing w:before="320"/>
      <w:outlineLvl w:val="7"/>
    </w:pPr>
    <w:rPr>
      <w:rFonts w:ascii="Arial" w:hAnsi="Arial" w:eastAsia="Arial" w:cs="Arial"/>
      <w:i/>
      <w:iCs/>
    </w:rPr>
  </w:style>
  <w:style w:type="paragraph" w:styleId="10">
    <w:name w:val="heading 9"/>
    <w:basedOn w:val="1"/>
    <w:next w:val="1"/>
    <w:link w:val="42"/>
    <w:qFormat/>
    <w:uiPriority w:val="9"/>
    <w:pPr>
      <w:keepNext/>
      <w:keepLines/>
      <w:spacing w:before="32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ndnote reference"/>
    <w:unhideWhenUsed/>
    <w:qFormat/>
    <w:uiPriority w:val="99"/>
    <w:rPr>
      <w:vertAlign w:val="superscript"/>
    </w:rPr>
  </w:style>
  <w:style w:type="character" w:styleId="14">
    <w:name w:val="footnote reference"/>
    <w:unhideWhenUsed/>
    <w:qFormat/>
    <w:uiPriority w:val="99"/>
    <w:rPr>
      <w:vertAlign w:val="superscript"/>
    </w:rPr>
  </w:style>
  <w:style w:type="character" w:styleId="15">
    <w:name w:val="Hyperlink"/>
    <w:unhideWhenUsed/>
    <w:qFormat/>
    <w:uiPriority w:val="99"/>
    <w:rPr>
      <w:color w:val="0000FF"/>
      <w:u w:val="single"/>
    </w:rPr>
  </w:style>
  <w:style w:type="paragraph" w:styleId="16">
    <w:name w:val="toc 2"/>
    <w:basedOn w:val="1"/>
    <w:next w:val="1"/>
    <w:unhideWhenUsed/>
    <w:qFormat/>
    <w:uiPriority w:val="39"/>
    <w:pPr>
      <w:spacing w:after="57"/>
      <w:ind w:left="283"/>
    </w:pPr>
  </w:style>
  <w:style w:type="paragraph" w:styleId="17">
    <w:name w:val="toc 9"/>
    <w:basedOn w:val="1"/>
    <w:next w:val="1"/>
    <w:unhideWhenUsed/>
    <w:qFormat/>
    <w:uiPriority w:val="39"/>
    <w:pPr>
      <w:spacing w:after="57"/>
      <w:ind w:left="2268"/>
    </w:pPr>
  </w:style>
  <w:style w:type="paragraph" w:styleId="18">
    <w:name w:val="toc 6"/>
    <w:basedOn w:val="1"/>
    <w:next w:val="1"/>
    <w:unhideWhenUsed/>
    <w:qFormat/>
    <w:uiPriority w:val="39"/>
    <w:pPr>
      <w:spacing w:after="57"/>
      <w:ind w:left="1417"/>
    </w:pPr>
  </w:style>
  <w:style w:type="paragraph" w:styleId="19">
    <w:name w:val="toc 5"/>
    <w:basedOn w:val="1"/>
    <w:next w:val="1"/>
    <w:unhideWhenUsed/>
    <w:qFormat/>
    <w:uiPriority w:val="39"/>
    <w:pPr>
      <w:spacing w:after="57"/>
      <w:ind w:left="1134"/>
    </w:pPr>
  </w:style>
  <w:style w:type="paragraph" w:styleId="20">
    <w:name w:val="table of figures"/>
    <w:basedOn w:val="1"/>
    <w:next w:val="1"/>
    <w:unhideWhenUsed/>
    <w:qFormat/>
    <w:uiPriority w:val="99"/>
    <w:pPr>
      <w:spacing w:after="0"/>
    </w:pPr>
  </w:style>
  <w:style w:type="paragraph" w:styleId="21">
    <w:name w:val="Title"/>
    <w:basedOn w:val="1"/>
    <w:next w:val="1"/>
    <w:link w:val="43"/>
    <w:qFormat/>
    <w:uiPriority w:val="10"/>
    <w:pPr>
      <w:spacing w:before="300"/>
      <w:contextualSpacing/>
    </w:pPr>
    <w:rPr>
      <w:sz w:val="48"/>
      <w:szCs w:val="48"/>
    </w:rPr>
  </w:style>
  <w:style w:type="paragraph" w:styleId="22">
    <w:name w:val="endnote text"/>
    <w:basedOn w:val="1"/>
    <w:link w:val="44"/>
    <w:unhideWhenUsed/>
    <w:qFormat/>
    <w:uiPriority w:val="99"/>
    <w:pPr>
      <w:spacing w:after="0" w:line="240" w:lineRule="auto"/>
    </w:pPr>
    <w:rPr>
      <w:sz w:val="20"/>
    </w:rPr>
  </w:style>
  <w:style w:type="paragraph" w:styleId="23">
    <w:name w:val="toc 4"/>
    <w:basedOn w:val="1"/>
    <w:next w:val="1"/>
    <w:unhideWhenUsed/>
    <w:qFormat/>
    <w:uiPriority w:val="39"/>
    <w:pPr>
      <w:spacing w:after="57"/>
      <w:ind w:left="850"/>
    </w:pPr>
  </w:style>
  <w:style w:type="paragraph" w:styleId="24">
    <w:name w:val="toc 8"/>
    <w:basedOn w:val="1"/>
    <w:next w:val="1"/>
    <w:unhideWhenUsed/>
    <w:qFormat/>
    <w:uiPriority w:val="39"/>
    <w:pPr>
      <w:spacing w:after="57"/>
      <w:ind w:left="1984"/>
    </w:pPr>
  </w:style>
  <w:style w:type="paragraph" w:styleId="25">
    <w:name w:val="header"/>
    <w:basedOn w:val="1"/>
    <w:link w:val="45"/>
    <w:unhideWhenUsed/>
    <w:qFormat/>
    <w:uiPriority w:val="99"/>
    <w:pPr>
      <w:tabs>
        <w:tab w:val="center" w:pos="7143"/>
        <w:tab w:val="right" w:pos="14287"/>
      </w:tabs>
      <w:spacing w:after="0" w:line="240" w:lineRule="auto"/>
    </w:pPr>
  </w:style>
  <w:style w:type="paragraph" w:styleId="26">
    <w:name w:val="footer"/>
    <w:basedOn w:val="1"/>
    <w:link w:val="46"/>
    <w:unhideWhenUsed/>
    <w:qFormat/>
    <w:uiPriority w:val="99"/>
    <w:pPr>
      <w:tabs>
        <w:tab w:val="center" w:pos="7143"/>
        <w:tab w:val="right" w:pos="14287"/>
      </w:tabs>
      <w:spacing w:after="0" w:line="240" w:lineRule="auto"/>
    </w:pPr>
  </w:style>
  <w:style w:type="paragraph" w:styleId="27">
    <w:name w:val="caption"/>
    <w:basedOn w:val="1"/>
    <w:next w:val="1"/>
    <w:qFormat/>
    <w:uiPriority w:val="35"/>
    <w:rPr>
      <w:b/>
      <w:bCs/>
      <w:color w:val="4F81BD"/>
      <w:sz w:val="18"/>
      <w:szCs w:val="18"/>
    </w:rPr>
  </w:style>
  <w:style w:type="paragraph" w:styleId="28">
    <w:name w:val="toc 7"/>
    <w:basedOn w:val="1"/>
    <w:next w:val="1"/>
    <w:unhideWhenUsed/>
    <w:qFormat/>
    <w:uiPriority w:val="39"/>
    <w:pPr>
      <w:spacing w:after="57"/>
      <w:ind w:left="1701"/>
    </w:pPr>
  </w:style>
  <w:style w:type="paragraph" w:styleId="29">
    <w:name w:val="toc 3"/>
    <w:basedOn w:val="1"/>
    <w:next w:val="1"/>
    <w:unhideWhenUsed/>
    <w:qFormat/>
    <w:uiPriority w:val="39"/>
    <w:pPr>
      <w:spacing w:after="57"/>
      <w:ind w:left="567"/>
    </w:pPr>
  </w:style>
  <w:style w:type="paragraph" w:styleId="30">
    <w:name w:val="Subtitle"/>
    <w:basedOn w:val="1"/>
    <w:next w:val="1"/>
    <w:link w:val="47"/>
    <w:qFormat/>
    <w:uiPriority w:val="11"/>
    <w:pPr>
      <w:spacing w:before="200"/>
    </w:pPr>
    <w:rPr>
      <w:sz w:val="24"/>
      <w:szCs w:val="24"/>
    </w:rPr>
  </w:style>
  <w:style w:type="paragraph" w:styleId="31">
    <w:name w:val="footnote text"/>
    <w:basedOn w:val="1"/>
    <w:link w:val="48"/>
    <w:unhideWhenUsed/>
    <w:qFormat/>
    <w:uiPriority w:val="99"/>
    <w:pPr>
      <w:spacing w:after="40" w:line="240" w:lineRule="auto"/>
    </w:pPr>
    <w:rPr>
      <w:sz w:val="18"/>
    </w:rPr>
  </w:style>
  <w:style w:type="paragraph" w:styleId="32">
    <w:name w:val="toc 1"/>
    <w:basedOn w:val="1"/>
    <w:next w:val="1"/>
    <w:unhideWhenUsed/>
    <w:qFormat/>
    <w:uiPriority w:val="39"/>
    <w:pPr>
      <w:spacing w:after="57"/>
    </w:pPr>
  </w:style>
  <w:style w:type="table" w:styleId="33">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4">
    <w:name w:val="Título 1 Char"/>
    <w:link w:val="2"/>
    <w:qFormat/>
    <w:uiPriority w:val="9"/>
    <w:rPr>
      <w:rFonts w:ascii="Arial" w:hAnsi="Arial" w:eastAsia="Arial" w:cs="Arial"/>
      <w:sz w:val="40"/>
      <w:szCs w:val="40"/>
    </w:rPr>
  </w:style>
  <w:style w:type="character" w:customStyle="1" w:styleId="35">
    <w:name w:val="Título 2 Char"/>
    <w:link w:val="3"/>
    <w:qFormat/>
    <w:uiPriority w:val="9"/>
    <w:rPr>
      <w:rFonts w:ascii="Arial" w:hAnsi="Arial" w:eastAsia="Arial" w:cs="Arial"/>
      <w:sz w:val="34"/>
    </w:rPr>
  </w:style>
  <w:style w:type="character" w:customStyle="1" w:styleId="36">
    <w:name w:val="Título 3 Char"/>
    <w:link w:val="4"/>
    <w:qFormat/>
    <w:uiPriority w:val="9"/>
    <w:rPr>
      <w:rFonts w:ascii="Arial" w:hAnsi="Arial" w:eastAsia="Arial" w:cs="Arial"/>
      <w:sz w:val="30"/>
      <w:szCs w:val="30"/>
    </w:rPr>
  </w:style>
  <w:style w:type="character" w:customStyle="1" w:styleId="37">
    <w:name w:val="Título 4 Char"/>
    <w:link w:val="5"/>
    <w:qFormat/>
    <w:uiPriority w:val="9"/>
    <w:rPr>
      <w:rFonts w:ascii="Arial" w:hAnsi="Arial" w:eastAsia="Arial" w:cs="Arial"/>
      <w:b/>
      <w:bCs/>
      <w:sz w:val="26"/>
      <w:szCs w:val="26"/>
    </w:rPr>
  </w:style>
  <w:style w:type="character" w:customStyle="1" w:styleId="38">
    <w:name w:val="Título 5 Char"/>
    <w:link w:val="6"/>
    <w:qFormat/>
    <w:uiPriority w:val="9"/>
    <w:rPr>
      <w:rFonts w:ascii="Arial" w:hAnsi="Arial" w:eastAsia="Arial" w:cs="Arial"/>
      <w:b/>
      <w:bCs/>
      <w:sz w:val="24"/>
      <w:szCs w:val="24"/>
    </w:rPr>
  </w:style>
  <w:style w:type="character" w:customStyle="1" w:styleId="39">
    <w:name w:val="Título 6 Char"/>
    <w:link w:val="7"/>
    <w:qFormat/>
    <w:uiPriority w:val="9"/>
    <w:rPr>
      <w:rFonts w:ascii="Arial" w:hAnsi="Arial" w:eastAsia="Arial" w:cs="Arial"/>
      <w:b/>
      <w:bCs/>
      <w:sz w:val="22"/>
      <w:szCs w:val="22"/>
    </w:rPr>
  </w:style>
  <w:style w:type="character" w:customStyle="1" w:styleId="40">
    <w:name w:val="Título 7 Char"/>
    <w:link w:val="8"/>
    <w:qFormat/>
    <w:uiPriority w:val="9"/>
    <w:rPr>
      <w:rFonts w:ascii="Arial" w:hAnsi="Arial" w:eastAsia="Arial" w:cs="Arial"/>
      <w:b/>
      <w:bCs/>
      <w:i/>
      <w:iCs/>
      <w:sz w:val="22"/>
      <w:szCs w:val="22"/>
    </w:rPr>
  </w:style>
  <w:style w:type="character" w:customStyle="1" w:styleId="41">
    <w:name w:val="Título 8 Char"/>
    <w:link w:val="9"/>
    <w:qFormat/>
    <w:uiPriority w:val="9"/>
    <w:rPr>
      <w:rFonts w:ascii="Arial" w:hAnsi="Arial" w:eastAsia="Arial" w:cs="Arial"/>
      <w:i/>
      <w:iCs/>
      <w:sz w:val="22"/>
      <w:szCs w:val="22"/>
    </w:rPr>
  </w:style>
  <w:style w:type="character" w:customStyle="1" w:styleId="42">
    <w:name w:val="Título 9 Char"/>
    <w:link w:val="10"/>
    <w:qFormat/>
    <w:uiPriority w:val="9"/>
    <w:rPr>
      <w:rFonts w:ascii="Arial" w:hAnsi="Arial" w:eastAsia="Arial" w:cs="Arial"/>
      <w:i/>
      <w:iCs/>
      <w:sz w:val="21"/>
      <w:szCs w:val="21"/>
    </w:rPr>
  </w:style>
  <w:style w:type="character" w:customStyle="1" w:styleId="43">
    <w:name w:val="Título Char"/>
    <w:link w:val="21"/>
    <w:qFormat/>
    <w:uiPriority w:val="10"/>
    <w:rPr>
      <w:sz w:val="48"/>
      <w:szCs w:val="48"/>
    </w:rPr>
  </w:style>
  <w:style w:type="character" w:customStyle="1" w:styleId="44">
    <w:name w:val="Texto de nota de fim Char"/>
    <w:link w:val="22"/>
    <w:qFormat/>
    <w:uiPriority w:val="99"/>
    <w:rPr>
      <w:sz w:val="20"/>
    </w:rPr>
  </w:style>
  <w:style w:type="character" w:customStyle="1" w:styleId="45">
    <w:name w:val="Cabeçalho Char"/>
    <w:link w:val="25"/>
    <w:qFormat/>
    <w:uiPriority w:val="99"/>
  </w:style>
  <w:style w:type="character" w:customStyle="1" w:styleId="46">
    <w:name w:val="Rodapé Char"/>
    <w:link w:val="26"/>
    <w:qFormat/>
    <w:uiPriority w:val="99"/>
  </w:style>
  <w:style w:type="character" w:customStyle="1" w:styleId="47">
    <w:name w:val="Subtítulo Char"/>
    <w:link w:val="30"/>
    <w:qFormat/>
    <w:uiPriority w:val="11"/>
    <w:rPr>
      <w:sz w:val="24"/>
      <w:szCs w:val="24"/>
    </w:rPr>
  </w:style>
  <w:style w:type="character" w:customStyle="1" w:styleId="48">
    <w:name w:val="Texto de nota de rodapé Char"/>
    <w:link w:val="31"/>
    <w:qFormat/>
    <w:uiPriority w:val="99"/>
    <w:rPr>
      <w:sz w:val="18"/>
    </w:rPr>
  </w:style>
  <w:style w:type="paragraph" w:styleId="49">
    <w:name w:val="List Paragraph"/>
    <w:basedOn w:val="1"/>
    <w:qFormat/>
    <w:uiPriority w:val="34"/>
    <w:pPr>
      <w:ind w:left="720"/>
      <w:contextualSpacing/>
    </w:pPr>
  </w:style>
  <w:style w:type="paragraph" w:styleId="50">
    <w:name w:val="No Spacing"/>
    <w:qFormat/>
    <w:uiPriority w:val="1"/>
    <w:rPr>
      <w:rFonts w:ascii="Times New Roman" w:hAnsi="Times New Roman" w:eastAsia="SimSun" w:cs="Times New Roman"/>
      <w:lang w:val="pt-BR" w:eastAsia="pt-BR" w:bidi="ar-SA"/>
    </w:rPr>
  </w:style>
  <w:style w:type="paragraph" w:styleId="51">
    <w:name w:val="Quote"/>
    <w:basedOn w:val="1"/>
    <w:next w:val="1"/>
    <w:link w:val="52"/>
    <w:qFormat/>
    <w:uiPriority w:val="29"/>
    <w:pPr>
      <w:ind w:left="720" w:right="720"/>
    </w:pPr>
    <w:rPr>
      <w:i/>
    </w:rPr>
  </w:style>
  <w:style w:type="character" w:customStyle="1" w:styleId="52">
    <w:name w:val="Citação Char"/>
    <w:link w:val="51"/>
    <w:qFormat/>
    <w:uiPriority w:val="29"/>
    <w:rPr>
      <w:i/>
    </w:rPr>
  </w:style>
  <w:style w:type="paragraph" w:styleId="53">
    <w:name w:val="Intense Quote"/>
    <w:basedOn w:val="1"/>
    <w:next w:val="1"/>
    <w:link w:val="54"/>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4">
    <w:name w:val="Citação Intensa Char"/>
    <w:link w:val="53"/>
    <w:qFormat/>
    <w:uiPriority w:val="30"/>
    <w:rPr>
      <w:i/>
    </w:rPr>
  </w:style>
  <w:style w:type="character" w:customStyle="1" w:styleId="55">
    <w:name w:val="Footer Char"/>
    <w:qFormat/>
    <w:uiPriority w:val="99"/>
  </w:style>
  <w:style w:type="table" w:customStyle="1" w:styleId="56">
    <w:name w:val="Table Grid Light"/>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7">
    <w:name w:val="Simples Tabela 11"/>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8">
    <w:name w:val="Simples Tabela 21"/>
    <w:qFormat/>
    <w:uiPriority w:val="59"/>
    <w:tblPr>
      <w:tblBorders>
        <w:top w:val="single" w:color="000000" w:sz="4" w:space="0"/>
        <w:left w:val="none" w:color="000000" w:sz="4" w:space="0"/>
        <w:bottom w:val="single" w:color="000000" w:sz="4" w:space="0"/>
        <w:right w:val="none" w:color="000000" w:sz="4" w:space="0"/>
      </w:tblBorders>
      <w:tblCellMar>
        <w:top w:w="0" w:type="dxa"/>
        <w:left w:w="108" w:type="dxa"/>
        <w:bottom w:w="0" w:type="dxa"/>
        <w:right w:w="108" w:type="dxa"/>
      </w:tblCellMar>
    </w:tblPr>
  </w:style>
  <w:style w:type="table" w:customStyle="1" w:styleId="59">
    <w:name w:val="Simples Tabela 31"/>
    <w:qFormat/>
    <w:uiPriority w:val="99"/>
    <w:tblPr>
      <w:tblCellMar>
        <w:top w:w="0" w:type="dxa"/>
        <w:left w:w="0" w:type="dxa"/>
        <w:bottom w:w="0" w:type="dxa"/>
        <w:right w:w="0" w:type="dxa"/>
      </w:tblCellMar>
    </w:tblPr>
  </w:style>
  <w:style w:type="table" w:customStyle="1" w:styleId="60">
    <w:name w:val="Tabela Simples 41"/>
    <w:qFormat/>
    <w:uiPriority w:val="99"/>
    <w:tblPr>
      <w:tblCellMar>
        <w:top w:w="0" w:type="dxa"/>
        <w:left w:w="0" w:type="dxa"/>
        <w:bottom w:w="0" w:type="dxa"/>
        <w:right w:w="0" w:type="dxa"/>
      </w:tblCellMar>
    </w:tblPr>
  </w:style>
  <w:style w:type="table" w:customStyle="1" w:styleId="61">
    <w:name w:val="Tabela Simples 51"/>
    <w:qFormat/>
    <w:uiPriority w:val="99"/>
    <w:tblPr>
      <w:tblCellMar>
        <w:top w:w="0" w:type="dxa"/>
        <w:left w:w="0" w:type="dxa"/>
        <w:bottom w:w="0" w:type="dxa"/>
        <w:right w:w="0" w:type="dxa"/>
      </w:tblCellMar>
    </w:tblPr>
  </w:style>
  <w:style w:type="table" w:customStyle="1" w:styleId="62">
    <w:name w:val="Tabela de Grade 1 Clara1"/>
    <w:qFormat/>
    <w:uiPriority w:val="99"/>
    <w:tblPr>
      <w:tblBorders>
        <w:top w:val="single" w:color="979797" w:sz="4" w:space="0"/>
        <w:left w:val="single" w:color="979797" w:sz="4" w:space="0"/>
        <w:bottom w:val="single" w:color="979797" w:sz="4" w:space="0"/>
        <w:right w:val="single" w:color="979797" w:sz="4" w:space="0"/>
        <w:insideH w:val="single" w:color="979797" w:sz="4" w:space="0"/>
        <w:insideV w:val="single" w:color="979797" w:sz="4" w:space="0"/>
      </w:tblBorders>
      <w:tblCellMar>
        <w:top w:w="0" w:type="dxa"/>
        <w:left w:w="0" w:type="dxa"/>
        <w:bottom w:w="0" w:type="dxa"/>
        <w:right w:w="0" w:type="dxa"/>
      </w:tblCellMar>
    </w:tblPr>
  </w:style>
  <w:style w:type="table" w:customStyle="1" w:styleId="63">
    <w:name w:val="Grid Table 1 Light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64">
    <w:name w:val="Grid Table 1 Light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65">
    <w:name w:val="Grid Table 1 Light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66">
    <w:name w:val="Grid Table 1 Light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67">
    <w:name w:val="Grid Table 1 Light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68">
    <w:name w:val="Grid Table 1 Light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table" w:customStyle="1" w:styleId="69">
    <w:name w:val="Tabela de Grade 2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0">
    <w:name w:val="Grid Table 2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1">
    <w:name w:val="Grid Table 2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72">
    <w:name w:val="Grid Table 2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73">
    <w:name w:val="Grid Table 2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74">
    <w:name w:val="Grid Table 2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75">
    <w:name w:val="Grid Table 2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76">
    <w:name w:val="Tabela de Grade 3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7">
    <w:name w:val="Grid Table 3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8">
    <w:name w:val="Grid Table 3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79">
    <w:name w:val="Grid Table 3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80">
    <w:name w:val="Grid Table 3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81">
    <w:name w:val="Grid Table 3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82">
    <w:name w:val="Grid Table 3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83">
    <w:name w:val="Tabela de Grade 41"/>
    <w:qFormat/>
    <w:uiPriority w:val="59"/>
    <w:tblPr>
      <w:tblBorders>
        <w:top w:val="single" w:color="6E6E6E" w:sz="4" w:space="0"/>
        <w:left w:val="single" w:color="6E6E6E" w:sz="4" w:space="0"/>
        <w:bottom w:val="single" w:color="6E6E6E" w:sz="4" w:space="0"/>
        <w:right w:val="single" w:color="6E6E6E" w:sz="4" w:space="0"/>
        <w:insideH w:val="single" w:color="6E6E6E" w:sz="4" w:space="0"/>
        <w:insideV w:val="single" w:color="6E6E6E" w:sz="4" w:space="0"/>
      </w:tblBorders>
      <w:tblCellMar>
        <w:top w:w="0" w:type="dxa"/>
        <w:left w:w="0" w:type="dxa"/>
        <w:bottom w:w="0" w:type="dxa"/>
        <w:right w:w="0" w:type="dxa"/>
      </w:tblCellMar>
    </w:tblPr>
  </w:style>
  <w:style w:type="table" w:customStyle="1" w:styleId="84">
    <w:name w:val="Grid Table 4 - Accent 1"/>
    <w:qFormat/>
    <w:uiPriority w:val="59"/>
    <w:tblPr>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CellMar>
        <w:top w:w="0" w:type="dxa"/>
        <w:left w:w="0" w:type="dxa"/>
        <w:bottom w:w="0" w:type="dxa"/>
        <w:right w:w="0" w:type="dxa"/>
      </w:tblCellMar>
    </w:tblPr>
  </w:style>
  <w:style w:type="table" w:customStyle="1" w:styleId="85">
    <w:name w:val="Grid Table 4 - Accent 2"/>
    <w:qFormat/>
    <w:uiPriority w:val="59"/>
    <w:tblPr>
      <w:tblBorders>
        <w:top w:val="single" w:color="DB9C9A" w:sz="4" w:space="0"/>
        <w:left w:val="single" w:color="DB9C9A" w:sz="4" w:space="0"/>
        <w:bottom w:val="single" w:color="DB9C9A" w:sz="4" w:space="0"/>
        <w:right w:val="single" w:color="DB9C9A" w:sz="4" w:space="0"/>
        <w:insideH w:val="single" w:color="DB9C9A" w:sz="4" w:space="0"/>
        <w:insideV w:val="single" w:color="DB9C9A" w:sz="4" w:space="0"/>
      </w:tblBorders>
      <w:tblCellMar>
        <w:top w:w="0" w:type="dxa"/>
        <w:left w:w="0" w:type="dxa"/>
        <w:bottom w:w="0" w:type="dxa"/>
        <w:right w:w="0" w:type="dxa"/>
      </w:tblCellMar>
    </w:tblPr>
  </w:style>
  <w:style w:type="table" w:customStyle="1" w:styleId="86">
    <w:name w:val="Grid Table 4 - Accent 3"/>
    <w:qFormat/>
    <w:uiPriority w:val="59"/>
    <w:tblPr>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CellMar>
        <w:top w:w="0" w:type="dxa"/>
        <w:left w:w="0" w:type="dxa"/>
        <w:bottom w:w="0" w:type="dxa"/>
        <w:right w:w="0" w:type="dxa"/>
      </w:tblCellMar>
    </w:tblPr>
  </w:style>
  <w:style w:type="table" w:customStyle="1" w:styleId="87">
    <w:name w:val="Grid Table 4 - Accent 4"/>
    <w:qFormat/>
    <w:uiPriority w:val="59"/>
    <w:tblPr>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CellMar>
        <w:top w:w="0" w:type="dxa"/>
        <w:left w:w="0" w:type="dxa"/>
        <w:bottom w:w="0" w:type="dxa"/>
        <w:right w:w="0" w:type="dxa"/>
      </w:tblCellMar>
    </w:tblPr>
  </w:style>
  <w:style w:type="table" w:customStyle="1" w:styleId="88">
    <w:name w:val="Grid Table 4 - Accent 5"/>
    <w:qFormat/>
    <w:uiPriority w:val="59"/>
    <w:tblPr>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89">
    <w:name w:val="Grid Table 4 - Accent 6"/>
    <w:qFormat/>
    <w:uiPriority w:val="59"/>
    <w:tblPr>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90">
    <w:name w:val="Tabela de Grade 5 Escura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1">
    <w:name w:val="Grid Table 5 Dark- Accent 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2">
    <w:name w:val="Grid Table 5 Dark - Accent 2"/>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3">
    <w:name w:val="Grid Table 5 Dark - Accent 3"/>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4">
    <w:name w:val="Grid Table 5 Dark- Accent 4"/>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5">
    <w:name w:val="Grid Table 5 Dark - Accent 5"/>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6">
    <w:name w:val="Grid Table 5 Dark - Accent 6"/>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7">
    <w:name w:val="Tabela de Grade 6 Colorida1"/>
    <w:qFormat/>
    <w:uiPriority w:val="99"/>
    <w:tblPr>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98">
    <w:name w:val="Grid Table 6 Colorful - Accent 1"/>
    <w:qFormat/>
    <w:uiPriority w:val="99"/>
    <w:tblPr>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99">
    <w:name w:val="Grid Table 6 Colorful - Accent 2"/>
    <w:qFormat/>
    <w:uiPriority w:val="99"/>
    <w:tblPr>
      <w:tblBorders>
        <w:top w:val="single" w:color="D99795" w:sz="4" w:space="0"/>
        <w:left w:val="single" w:color="D99795" w:sz="4" w:space="0"/>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0">
    <w:name w:val="Grid Table 6 Colorful - Accent 3"/>
    <w:qFormat/>
    <w:uiPriority w:val="99"/>
    <w:tblPr>
      <w:tblBorders>
        <w:top w:val="single" w:color="9BBB59" w:sz="4" w:space="0"/>
        <w:left w:val="single" w:color="9BBB59" w:sz="4" w:space="0"/>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1">
    <w:name w:val="Grid Table 6 Colorful - Accent 4"/>
    <w:qFormat/>
    <w:uiPriority w:val="99"/>
    <w:tblPr>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02">
    <w:name w:val="Grid Table 6 Colorful - Accent 5"/>
    <w:qFormat/>
    <w:uiPriority w:val="99"/>
    <w:tblPr>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103">
    <w:name w:val="Grid Table 6 Colorful - Accent 6"/>
    <w:qFormat/>
    <w:uiPriority w:val="99"/>
    <w:tblPr>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104">
    <w:name w:val="Tabela de Grade 7 Colorida1"/>
    <w:qFormat/>
    <w:uiPriority w:val="99"/>
    <w:tblPr>
      <w:tblBorders>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105">
    <w:name w:val="Grid Table 7 Colorful - Accent 1"/>
    <w:qFormat/>
    <w:uiPriority w:val="99"/>
    <w:tblPr>
      <w:tblBorders>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106">
    <w:name w:val="Grid Table 7 Colorful - Accent 2"/>
    <w:qFormat/>
    <w:uiPriority w:val="99"/>
    <w:tblPr>
      <w:tblBorders>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7">
    <w:name w:val="Grid Table 7 Colorful - Accent 3"/>
    <w:qFormat/>
    <w:uiPriority w:val="99"/>
    <w:tblPr>
      <w:tblBorders>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8">
    <w:name w:val="Grid Table 7 Colorful - Accent 4"/>
    <w:qFormat/>
    <w:uiPriority w:val="99"/>
    <w:tblPr>
      <w:tblBorders>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09">
    <w:name w:val="Grid Table 7 Colorful - Accent 5"/>
    <w:qFormat/>
    <w:uiPriority w:val="99"/>
    <w:tblPr>
      <w:tblBorders>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110">
    <w:name w:val="Grid Table 7 Colorful - Accent 6"/>
    <w:qFormat/>
    <w:uiPriority w:val="99"/>
    <w:tblPr>
      <w:tblBorders>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111">
    <w:name w:val="Tabela de Lista 1 Clara1"/>
    <w:qFormat/>
    <w:uiPriority w:val="99"/>
    <w:tblPr>
      <w:tblCellMar>
        <w:top w:w="0" w:type="dxa"/>
        <w:left w:w="0" w:type="dxa"/>
        <w:bottom w:w="0" w:type="dxa"/>
        <w:right w:w="0" w:type="dxa"/>
      </w:tblCellMar>
    </w:tblPr>
  </w:style>
  <w:style w:type="table" w:customStyle="1" w:styleId="112">
    <w:name w:val="List Table 1 Light - Accent 1"/>
    <w:qFormat/>
    <w:uiPriority w:val="99"/>
    <w:tblPr>
      <w:tblCellMar>
        <w:top w:w="0" w:type="dxa"/>
        <w:left w:w="0" w:type="dxa"/>
        <w:bottom w:w="0" w:type="dxa"/>
        <w:right w:w="0" w:type="dxa"/>
      </w:tblCellMar>
    </w:tblPr>
  </w:style>
  <w:style w:type="table" w:customStyle="1" w:styleId="113">
    <w:name w:val="List Table 1 Light - Accent 2"/>
    <w:qFormat/>
    <w:uiPriority w:val="99"/>
    <w:tblPr>
      <w:tblCellMar>
        <w:top w:w="0" w:type="dxa"/>
        <w:left w:w="0" w:type="dxa"/>
        <w:bottom w:w="0" w:type="dxa"/>
        <w:right w:w="0" w:type="dxa"/>
      </w:tblCellMar>
    </w:tblPr>
  </w:style>
  <w:style w:type="table" w:customStyle="1" w:styleId="114">
    <w:name w:val="List Table 1 Light - Accent 3"/>
    <w:qFormat/>
    <w:uiPriority w:val="99"/>
    <w:tblPr>
      <w:tblCellMar>
        <w:top w:w="0" w:type="dxa"/>
        <w:left w:w="0" w:type="dxa"/>
        <w:bottom w:w="0" w:type="dxa"/>
        <w:right w:w="0" w:type="dxa"/>
      </w:tblCellMar>
    </w:tblPr>
  </w:style>
  <w:style w:type="table" w:customStyle="1" w:styleId="115">
    <w:name w:val="List Table 1 Light - Accent 4"/>
    <w:qFormat/>
    <w:uiPriority w:val="99"/>
    <w:tblPr>
      <w:tblCellMar>
        <w:top w:w="0" w:type="dxa"/>
        <w:left w:w="0" w:type="dxa"/>
        <w:bottom w:w="0" w:type="dxa"/>
        <w:right w:w="0" w:type="dxa"/>
      </w:tblCellMar>
    </w:tblPr>
  </w:style>
  <w:style w:type="table" w:customStyle="1" w:styleId="116">
    <w:name w:val="List Table 1 Light - Accent 5"/>
    <w:qFormat/>
    <w:uiPriority w:val="99"/>
    <w:tblPr>
      <w:tblCellMar>
        <w:top w:w="0" w:type="dxa"/>
        <w:left w:w="0" w:type="dxa"/>
        <w:bottom w:w="0" w:type="dxa"/>
        <w:right w:w="0" w:type="dxa"/>
      </w:tblCellMar>
    </w:tblPr>
  </w:style>
  <w:style w:type="table" w:customStyle="1" w:styleId="117">
    <w:name w:val="List Table 1 Light - Accent 6"/>
    <w:qFormat/>
    <w:uiPriority w:val="99"/>
    <w:tblPr>
      <w:tblCellMar>
        <w:top w:w="0" w:type="dxa"/>
        <w:left w:w="0" w:type="dxa"/>
        <w:bottom w:w="0" w:type="dxa"/>
        <w:right w:w="0" w:type="dxa"/>
      </w:tblCellMar>
    </w:tblPr>
  </w:style>
  <w:style w:type="table" w:customStyle="1" w:styleId="118">
    <w:name w:val="Tabela de Lista 21"/>
    <w:qFormat/>
    <w:uiPriority w:val="99"/>
    <w:tblPr>
      <w:tblBorders>
        <w:top w:val="single" w:color="6E6E6E" w:sz="4" w:space="0"/>
        <w:bottom w:val="single" w:color="6E6E6E" w:sz="4" w:space="0"/>
        <w:insideH w:val="single" w:color="6E6E6E" w:sz="4" w:space="0"/>
      </w:tblBorders>
      <w:tblCellMar>
        <w:top w:w="0" w:type="dxa"/>
        <w:left w:w="0" w:type="dxa"/>
        <w:bottom w:w="0" w:type="dxa"/>
        <w:right w:w="0" w:type="dxa"/>
      </w:tblCellMar>
    </w:tblPr>
  </w:style>
  <w:style w:type="table" w:customStyle="1" w:styleId="119">
    <w:name w:val="List Table 2 - Accent 1"/>
    <w:qFormat/>
    <w:uiPriority w:val="99"/>
    <w:tblPr>
      <w:tblBorders>
        <w:top w:val="single" w:color="9BB7D9" w:sz="4" w:space="0"/>
        <w:bottom w:val="single" w:color="9BB7D9" w:sz="4" w:space="0"/>
        <w:insideH w:val="single" w:color="9BB7D9" w:sz="4" w:space="0"/>
      </w:tblBorders>
      <w:tblCellMar>
        <w:top w:w="0" w:type="dxa"/>
        <w:left w:w="0" w:type="dxa"/>
        <w:bottom w:w="0" w:type="dxa"/>
        <w:right w:w="0" w:type="dxa"/>
      </w:tblCellMar>
    </w:tblPr>
  </w:style>
  <w:style w:type="table" w:customStyle="1" w:styleId="120">
    <w:name w:val="List Table 2 - Accent 2"/>
    <w:uiPriority w:val="99"/>
    <w:tblPr>
      <w:tblBorders>
        <w:top w:val="single" w:color="DB9C9A" w:sz="4" w:space="0"/>
        <w:bottom w:val="single" w:color="DB9C9A" w:sz="4" w:space="0"/>
        <w:insideH w:val="single" w:color="DB9C9A" w:sz="4" w:space="0"/>
      </w:tblBorders>
      <w:tblCellMar>
        <w:top w:w="0" w:type="dxa"/>
        <w:left w:w="0" w:type="dxa"/>
        <w:bottom w:w="0" w:type="dxa"/>
        <w:right w:w="0" w:type="dxa"/>
      </w:tblCellMar>
    </w:tblPr>
  </w:style>
  <w:style w:type="table" w:customStyle="1" w:styleId="121">
    <w:name w:val="List Table 2 - Accent 3"/>
    <w:uiPriority w:val="99"/>
    <w:tblPr>
      <w:tblBorders>
        <w:top w:val="single" w:color="C6D8A1" w:sz="4" w:space="0"/>
        <w:bottom w:val="single" w:color="C6D8A1" w:sz="4" w:space="0"/>
        <w:insideH w:val="single" w:color="C6D8A1" w:sz="4" w:space="0"/>
      </w:tblBorders>
      <w:tblCellMar>
        <w:top w:w="0" w:type="dxa"/>
        <w:left w:w="0" w:type="dxa"/>
        <w:bottom w:w="0" w:type="dxa"/>
        <w:right w:w="0" w:type="dxa"/>
      </w:tblCellMar>
    </w:tblPr>
  </w:style>
  <w:style w:type="table" w:customStyle="1" w:styleId="122">
    <w:name w:val="List Table 2 - Accent 4"/>
    <w:uiPriority w:val="99"/>
    <w:tblPr>
      <w:tblBorders>
        <w:top w:val="single" w:color="B7A7CA" w:sz="4" w:space="0"/>
        <w:bottom w:val="single" w:color="B7A7CA" w:sz="4" w:space="0"/>
        <w:insideH w:val="single" w:color="B7A7CA" w:sz="4" w:space="0"/>
      </w:tblBorders>
      <w:tblCellMar>
        <w:top w:w="0" w:type="dxa"/>
        <w:left w:w="0" w:type="dxa"/>
        <w:bottom w:w="0" w:type="dxa"/>
        <w:right w:w="0" w:type="dxa"/>
      </w:tblCellMar>
    </w:tblPr>
  </w:style>
  <w:style w:type="table" w:customStyle="1" w:styleId="123">
    <w:name w:val="List Table 2 - Accent 5"/>
    <w:qFormat/>
    <w:uiPriority w:val="99"/>
    <w:tblPr>
      <w:tblBorders>
        <w:top w:val="single" w:color="99D0DE" w:sz="4" w:space="0"/>
        <w:bottom w:val="single" w:color="99D0DE" w:sz="4" w:space="0"/>
        <w:insideH w:val="single" w:color="99D0DE" w:sz="4" w:space="0"/>
      </w:tblBorders>
      <w:tblCellMar>
        <w:top w:w="0" w:type="dxa"/>
        <w:left w:w="0" w:type="dxa"/>
        <w:bottom w:w="0" w:type="dxa"/>
        <w:right w:w="0" w:type="dxa"/>
      </w:tblCellMar>
    </w:tblPr>
  </w:style>
  <w:style w:type="table" w:customStyle="1" w:styleId="124">
    <w:name w:val="List Table 2 - Accent 6"/>
    <w:qFormat/>
    <w:uiPriority w:val="99"/>
    <w:tblPr>
      <w:tblBorders>
        <w:top w:val="single" w:color="FAC396" w:sz="4" w:space="0"/>
        <w:bottom w:val="single" w:color="FAC396" w:sz="4" w:space="0"/>
        <w:insideH w:val="single" w:color="FAC396" w:sz="4" w:space="0"/>
      </w:tblBorders>
      <w:tblCellMar>
        <w:top w:w="0" w:type="dxa"/>
        <w:left w:w="0" w:type="dxa"/>
        <w:bottom w:w="0" w:type="dxa"/>
        <w:right w:w="0" w:type="dxa"/>
      </w:tblCellMar>
    </w:tblPr>
  </w:style>
  <w:style w:type="table" w:customStyle="1" w:styleId="125">
    <w:name w:val="Tabela de Lista 31"/>
    <w:qFormat/>
    <w:uiPriority w:val="99"/>
    <w:tblPr>
      <w:tblBorders>
        <w:top w:val="single" w:color="000000" w:sz="4" w:space="0"/>
        <w:left w:val="single" w:color="000000" w:sz="4" w:space="0"/>
        <w:bottom w:val="single" w:color="000000" w:sz="4" w:space="0"/>
        <w:right w:val="single" w:color="000000" w:sz="4" w:space="0"/>
      </w:tblBorders>
      <w:tblCellMar>
        <w:top w:w="0" w:type="dxa"/>
        <w:left w:w="0" w:type="dxa"/>
        <w:bottom w:w="0" w:type="dxa"/>
        <w:right w:w="0" w:type="dxa"/>
      </w:tblCellMar>
    </w:tblPr>
  </w:style>
  <w:style w:type="table" w:customStyle="1" w:styleId="126">
    <w:name w:val="List Table 3 - Accent 1"/>
    <w:uiPriority w:val="99"/>
    <w:tblPr>
      <w:tblBorders>
        <w:top w:val="single" w:color="4F81BD" w:sz="4" w:space="0"/>
        <w:left w:val="single" w:color="4F81BD" w:sz="4" w:space="0"/>
        <w:bottom w:val="single" w:color="4F81BD" w:sz="4" w:space="0"/>
        <w:right w:val="single" w:color="4F81BD" w:sz="4" w:space="0"/>
      </w:tblBorders>
      <w:tblCellMar>
        <w:top w:w="0" w:type="dxa"/>
        <w:left w:w="0" w:type="dxa"/>
        <w:bottom w:w="0" w:type="dxa"/>
        <w:right w:w="0" w:type="dxa"/>
      </w:tblCellMar>
    </w:tblPr>
  </w:style>
  <w:style w:type="table" w:customStyle="1" w:styleId="127">
    <w:name w:val="List Table 3 - Accent 2"/>
    <w:qFormat/>
    <w:uiPriority w:val="99"/>
    <w:tblPr>
      <w:tblBorders>
        <w:top w:val="single" w:color="D99795" w:sz="4" w:space="0"/>
        <w:left w:val="single" w:color="D99795" w:sz="4" w:space="0"/>
        <w:bottom w:val="single" w:color="D99795" w:sz="4" w:space="0"/>
        <w:right w:val="single" w:color="D99795" w:sz="4" w:space="0"/>
      </w:tblBorders>
      <w:tblCellMar>
        <w:top w:w="0" w:type="dxa"/>
        <w:left w:w="0" w:type="dxa"/>
        <w:bottom w:w="0" w:type="dxa"/>
        <w:right w:w="0" w:type="dxa"/>
      </w:tblCellMar>
    </w:tblPr>
  </w:style>
  <w:style w:type="table" w:customStyle="1" w:styleId="128">
    <w:name w:val="List Table 3 - Accent 3"/>
    <w:uiPriority w:val="99"/>
    <w:tblPr>
      <w:tblBorders>
        <w:top w:val="single" w:color="C3D69C" w:sz="4" w:space="0"/>
        <w:left w:val="single" w:color="C3D69C" w:sz="4" w:space="0"/>
        <w:bottom w:val="single" w:color="C3D69C" w:sz="4" w:space="0"/>
        <w:right w:val="single" w:color="C3D69C" w:sz="4" w:space="0"/>
      </w:tblBorders>
      <w:tblCellMar>
        <w:top w:w="0" w:type="dxa"/>
        <w:left w:w="0" w:type="dxa"/>
        <w:bottom w:w="0" w:type="dxa"/>
        <w:right w:w="0" w:type="dxa"/>
      </w:tblCellMar>
    </w:tblPr>
  </w:style>
  <w:style w:type="table" w:customStyle="1" w:styleId="129">
    <w:name w:val="List Table 3 - Accent 4"/>
    <w:qFormat/>
    <w:uiPriority w:val="99"/>
    <w:tblPr>
      <w:tblBorders>
        <w:top w:val="single" w:color="B2A1C6" w:sz="4" w:space="0"/>
        <w:left w:val="single" w:color="B2A1C6" w:sz="4" w:space="0"/>
        <w:bottom w:val="single" w:color="B2A1C6" w:sz="4" w:space="0"/>
        <w:right w:val="single" w:color="B2A1C6" w:sz="4" w:space="0"/>
      </w:tblBorders>
      <w:tblCellMar>
        <w:top w:w="0" w:type="dxa"/>
        <w:left w:w="0" w:type="dxa"/>
        <w:bottom w:w="0" w:type="dxa"/>
        <w:right w:w="0" w:type="dxa"/>
      </w:tblCellMar>
    </w:tblPr>
  </w:style>
  <w:style w:type="table" w:customStyle="1" w:styleId="130">
    <w:name w:val="List Table 3 - Accent 5"/>
    <w:uiPriority w:val="99"/>
    <w:tblPr>
      <w:tblBorders>
        <w:top w:val="single" w:color="92CCDC" w:sz="4" w:space="0"/>
        <w:left w:val="single" w:color="92CCDC" w:sz="4" w:space="0"/>
        <w:bottom w:val="single" w:color="92CCDC" w:sz="4" w:space="0"/>
        <w:right w:val="single" w:color="92CCDC" w:sz="4" w:space="0"/>
      </w:tblBorders>
      <w:tblCellMar>
        <w:top w:w="0" w:type="dxa"/>
        <w:left w:w="0" w:type="dxa"/>
        <w:bottom w:w="0" w:type="dxa"/>
        <w:right w:w="0" w:type="dxa"/>
      </w:tblCellMar>
    </w:tblPr>
  </w:style>
  <w:style w:type="table" w:customStyle="1" w:styleId="131">
    <w:name w:val="List Table 3 - Accent 6"/>
    <w:uiPriority w:val="99"/>
    <w:tblPr>
      <w:tblBorders>
        <w:top w:val="single" w:color="FAC090" w:sz="4" w:space="0"/>
        <w:left w:val="single" w:color="FAC090" w:sz="4" w:space="0"/>
        <w:bottom w:val="single" w:color="FAC090" w:sz="4" w:space="0"/>
        <w:right w:val="single" w:color="FAC090" w:sz="4" w:space="0"/>
      </w:tblBorders>
      <w:tblCellMar>
        <w:top w:w="0" w:type="dxa"/>
        <w:left w:w="0" w:type="dxa"/>
        <w:bottom w:w="0" w:type="dxa"/>
        <w:right w:w="0" w:type="dxa"/>
      </w:tblCellMar>
    </w:tblPr>
  </w:style>
  <w:style w:type="table" w:customStyle="1" w:styleId="132">
    <w:name w:val="Tabela de Lista 41"/>
    <w:qFormat/>
    <w:uiPriority w:val="99"/>
    <w:tblPr>
      <w:tblBorders>
        <w:top w:val="single" w:color="000000" w:sz="4" w:space="0"/>
        <w:left w:val="single" w:color="000000" w:sz="4" w:space="0"/>
        <w:bottom w:val="single" w:color="000000" w:sz="4" w:space="0"/>
        <w:right w:val="single" w:color="000000" w:sz="4" w:space="0"/>
        <w:insideH w:val="single" w:color="000000" w:sz="4" w:space="0"/>
      </w:tblBorders>
      <w:tblCellMar>
        <w:top w:w="0" w:type="dxa"/>
        <w:left w:w="0" w:type="dxa"/>
        <w:bottom w:w="0" w:type="dxa"/>
        <w:right w:w="0" w:type="dxa"/>
      </w:tblCellMar>
    </w:tblPr>
  </w:style>
  <w:style w:type="table" w:customStyle="1" w:styleId="133">
    <w:name w:val="List Table 4 - Accent 1"/>
    <w:uiPriority w:val="99"/>
    <w:tblPr>
      <w:tblBorders>
        <w:top w:val="single" w:color="9BB7D9" w:sz="4" w:space="0"/>
        <w:left w:val="single" w:color="9BB7D9" w:sz="4" w:space="0"/>
        <w:bottom w:val="single" w:color="9BB7D9" w:sz="4" w:space="0"/>
        <w:right w:val="single" w:color="9BB7D9" w:sz="4" w:space="0"/>
        <w:insideH w:val="single" w:color="9BB7D9" w:sz="4" w:space="0"/>
      </w:tblBorders>
      <w:tblCellMar>
        <w:top w:w="0" w:type="dxa"/>
        <w:left w:w="0" w:type="dxa"/>
        <w:bottom w:w="0" w:type="dxa"/>
        <w:right w:w="0" w:type="dxa"/>
      </w:tblCellMar>
    </w:tblPr>
  </w:style>
  <w:style w:type="table" w:customStyle="1" w:styleId="134">
    <w:name w:val="List Table 4 - Accent 2"/>
    <w:qFormat/>
    <w:uiPriority w:val="99"/>
    <w:tblPr>
      <w:tblBorders>
        <w:top w:val="single" w:color="DB9C9A" w:sz="4" w:space="0"/>
        <w:left w:val="single" w:color="DB9C9A" w:sz="4" w:space="0"/>
        <w:bottom w:val="single" w:color="DB9C9A" w:sz="4" w:space="0"/>
        <w:right w:val="single" w:color="DB9C9A" w:sz="4" w:space="0"/>
        <w:insideH w:val="single" w:color="DB9C9A" w:sz="4" w:space="0"/>
      </w:tblBorders>
      <w:tblCellMar>
        <w:top w:w="0" w:type="dxa"/>
        <w:left w:w="0" w:type="dxa"/>
        <w:bottom w:w="0" w:type="dxa"/>
        <w:right w:w="0" w:type="dxa"/>
      </w:tblCellMar>
    </w:tblPr>
  </w:style>
  <w:style w:type="table" w:customStyle="1" w:styleId="135">
    <w:name w:val="List Table 4 - Accent 3"/>
    <w:uiPriority w:val="99"/>
    <w:tblPr>
      <w:tblBorders>
        <w:top w:val="single" w:color="C6D8A1" w:sz="4" w:space="0"/>
        <w:left w:val="single" w:color="C6D8A1" w:sz="4" w:space="0"/>
        <w:bottom w:val="single" w:color="C6D8A1" w:sz="4" w:space="0"/>
        <w:right w:val="single" w:color="C6D8A1" w:sz="4" w:space="0"/>
        <w:insideH w:val="single" w:color="C6D8A1" w:sz="4" w:space="0"/>
      </w:tblBorders>
      <w:tblCellMar>
        <w:top w:w="0" w:type="dxa"/>
        <w:left w:w="0" w:type="dxa"/>
        <w:bottom w:w="0" w:type="dxa"/>
        <w:right w:w="0" w:type="dxa"/>
      </w:tblCellMar>
    </w:tblPr>
  </w:style>
  <w:style w:type="table" w:customStyle="1" w:styleId="136">
    <w:name w:val="List Table 4 - Accent 4"/>
    <w:qFormat/>
    <w:uiPriority w:val="99"/>
    <w:tblPr>
      <w:tblBorders>
        <w:top w:val="single" w:color="B7A7CA" w:sz="4" w:space="0"/>
        <w:left w:val="single" w:color="B7A7CA" w:sz="4" w:space="0"/>
        <w:bottom w:val="single" w:color="B7A7CA" w:sz="4" w:space="0"/>
        <w:right w:val="single" w:color="B7A7CA" w:sz="4" w:space="0"/>
        <w:insideH w:val="single" w:color="B7A7CA" w:sz="4" w:space="0"/>
      </w:tblBorders>
      <w:tblCellMar>
        <w:top w:w="0" w:type="dxa"/>
        <w:left w:w="0" w:type="dxa"/>
        <w:bottom w:w="0" w:type="dxa"/>
        <w:right w:w="0" w:type="dxa"/>
      </w:tblCellMar>
    </w:tblPr>
  </w:style>
  <w:style w:type="table" w:customStyle="1" w:styleId="137">
    <w:name w:val="List Table 4 - Accent 5"/>
    <w:qFormat/>
    <w:uiPriority w:val="99"/>
    <w:tblPr>
      <w:tblBorders>
        <w:top w:val="single" w:color="99D0DE" w:sz="4" w:space="0"/>
        <w:left w:val="single" w:color="99D0DE" w:sz="4" w:space="0"/>
        <w:bottom w:val="single" w:color="99D0DE" w:sz="4" w:space="0"/>
        <w:right w:val="single" w:color="99D0DE" w:sz="4" w:space="0"/>
        <w:insideH w:val="single" w:color="99D0DE" w:sz="4" w:space="0"/>
      </w:tblBorders>
      <w:tblCellMar>
        <w:top w:w="0" w:type="dxa"/>
        <w:left w:w="0" w:type="dxa"/>
        <w:bottom w:w="0" w:type="dxa"/>
        <w:right w:w="0" w:type="dxa"/>
      </w:tblCellMar>
    </w:tblPr>
  </w:style>
  <w:style w:type="table" w:customStyle="1" w:styleId="138">
    <w:name w:val="List Table 4 - Accent 6"/>
    <w:uiPriority w:val="99"/>
    <w:tblPr>
      <w:tblBorders>
        <w:top w:val="single" w:color="FAC396" w:sz="4" w:space="0"/>
        <w:left w:val="single" w:color="FAC396" w:sz="4" w:space="0"/>
        <w:bottom w:val="single" w:color="FAC396" w:sz="4" w:space="0"/>
        <w:right w:val="single" w:color="FAC396" w:sz="4" w:space="0"/>
        <w:insideH w:val="single" w:color="FAC396" w:sz="4" w:space="0"/>
      </w:tblBorders>
      <w:tblCellMar>
        <w:top w:w="0" w:type="dxa"/>
        <w:left w:w="0" w:type="dxa"/>
        <w:bottom w:w="0" w:type="dxa"/>
        <w:right w:w="0" w:type="dxa"/>
      </w:tblCellMar>
    </w:tblPr>
  </w:style>
  <w:style w:type="table" w:customStyle="1" w:styleId="139">
    <w:name w:val="Tabela de Lista 5 Escura1"/>
    <w:uiPriority w:val="99"/>
    <w:tblPr>
      <w:tblBorders>
        <w:top w:val="single" w:color="7E7E7E" w:sz="32" w:space="0"/>
        <w:left w:val="single" w:color="7E7E7E" w:sz="32" w:space="0"/>
        <w:bottom w:val="single" w:color="7E7E7E" w:sz="32" w:space="0"/>
        <w:right w:val="single" w:color="7E7E7E" w:sz="32" w:space="0"/>
      </w:tblBorders>
      <w:tblCellMar>
        <w:top w:w="0" w:type="dxa"/>
        <w:left w:w="0" w:type="dxa"/>
        <w:bottom w:w="0" w:type="dxa"/>
        <w:right w:w="0" w:type="dxa"/>
      </w:tblCellMar>
    </w:tblPr>
  </w:style>
  <w:style w:type="table" w:customStyle="1" w:styleId="140">
    <w:name w:val="List Table 5 Dark - Accent 1"/>
    <w:qFormat/>
    <w:uiPriority w:val="99"/>
    <w:tblPr>
      <w:tblBorders>
        <w:top w:val="single" w:color="4F81BD" w:sz="32" w:space="0"/>
        <w:left w:val="single" w:color="4F81BD" w:sz="32" w:space="0"/>
        <w:bottom w:val="single" w:color="4F81BD" w:sz="32" w:space="0"/>
        <w:right w:val="single" w:color="4F81BD" w:sz="32" w:space="0"/>
      </w:tblBorders>
      <w:tblCellMar>
        <w:top w:w="0" w:type="dxa"/>
        <w:left w:w="0" w:type="dxa"/>
        <w:bottom w:w="0" w:type="dxa"/>
        <w:right w:w="0" w:type="dxa"/>
      </w:tblCellMar>
    </w:tblPr>
  </w:style>
  <w:style w:type="table" w:customStyle="1" w:styleId="141">
    <w:name w:val="List Table 5 Dark - Accent 2"/>
    <w:uiPriority w:val="99"/>
    <w:tblPr>
      <w:tblBorders>
        <w:top w:val="single" w:color="D99795" w:sz="32" w:space="0"/>
        <w:left w:val="single" w:color="D99795" w:sz="32" w:space="0"/>
        <w:bottom w:val="single" w:color="D99795" w:sz="32" w:space="0"/>
        <w:right w:val="single" w:color="D99795" w:sz="32" w:space="0"/>
      </w:tblBorders>
      <w:tblCellMar>
        <w:top w:w="0" w:type="dxa"/>
        <w:left w:w="0" w:type="dxa"/>
        <w:bottom w:w="0" w:type="dxa"/>
        <w:right w:w="0" w:type="dxa"/>
      </w:tblCellMar>
    </w:tblPr>
  </w:style>
  <w:style w:type="table" w:customStyle="1" w:styleId="142">
    <w:name w:val="List Table 5 Dark - Accent 3"/>
    <w:qFormat/>
    <w:uiPriority w:val="99"/>
    <w:tblPr>
      <w:tblBorders>
        <w:top w:val="single" w:color="C3D69C" w:sz="32" w:space="0"/>
        <w:left w:val="single" w:color="C3D69C" w:sz="32" w:space="0"/>
        <w:bottom w:val="single" w:color="C3D69C" w:sz="32" w:space="0"/>
        <w:right w:val="single" w:color="C3D69C" w:sz="32" w:space="0"/>
      </w:tblBorders>
      <w:tblCellMar>
        <w:top w:w="0" w:type="dxa"/>
        <w:left w:w="0" w:type="dxa"/>
        <w:bottom w:w="0" w:type="dxa"/>
        <w:right w:w="0" w:type="dxa"/>
      </w:tblCellMar>
    </w:tblPr>
  </w:style>
  <w:style w:type="table" w:customStyle="1" w:styleId="143">
    <w:name w:val="List Table 5 Dark - Accent 4"/>
    <w:qFormat/>
    <w:uiPriority w:val="99"/>
    <w:tblPr>
      <w:tblBorders>
        <w:top w:val="single" w:color="B2A1C6" w:sz="32" w:space="0"/>
        <w:left w:val="single" w:color="B2A1C6" w:sz="32" w:space="0"/>
        <w:bottom w:val="single" w:color="B2A1C6" w:sz="32" w:space="0"/>
        <w:right w:val="single" w:color="B2A1C6" w:sz="32" w:space="0"/>
      </w:tblBorders>
      <w:tblCellMar>
        <w:top w:w="0" w:type="dxa"/>
        <w:left w:w="0" w:type="dxa"/>
        <w:bottom w:w="0" w:type="dxa"/>
        <w:right w:w="0" w:type="dxa"/>
      </w:tblCellMar>
    </w:tblPr>
  </w:style>
  <w:style w:type="table" w:customStyle="1" w:styleId="144">
    <w:name w:val="List Table 5 Dark - Accent 5"/>
    <w:qFormat/>
    <w:uiPriority w:val="99"/>
    <w:tblPr>
      <w:tblBorders>
        <w:top w:val="single" w:color="92CCDC" w:sz="32" w:space="0"/>
        <w:left w:val="single" w:color="92CCDC" w:sz="32" w:space="0"/>
        <w:bottom w:val="single" w:color="92CCDC" w:sz="32" w:space="0"/>
        <w:right w:val="single" w:color="92CCDC" w:sz="32" w:space="0"/>
      </w:tblBorders>
      <w:tblCellMar>
        <w:top w:w="0" w:type="dxa"/>
        <w:left w:w="0" w:type="dxa"/>
        <w:bottom w:w="0" w:type="dxa"/>
        <w:right w:w="0" w:type="dxa"/>
      </w:tblCellMar>
    </w:tblPr>
  </w:style>
  <w:style w:type="table" w:customStyle="1" w:styleId="145">
    <w:name w:val="List Table 5 Dark - Accent 6"/>
    <w:qFormat/>
    <w:uiPriority w:val="99"/>
    <w:tblPr>
      <w:tblBorders>
        <w:top w:val="single" w:color="FAC090" w:sz="32" w:space="0"/>
        <w:left w:val="single" w:color="FAC090" w:sz="32" w:space="0"/>
        <w:bottom w:val="single" w:color="FAC090" w:sz="32" w:space="0"/>
        <w:right w:val="single" w:color="FAC090" w:sz="32" w:space="0"/>
      </w:tblBorders>
      <w:tblCellMar>
        <w:top w:w="0" w:type="dxa"/>
        <w:left w:w="0" w:type="dxa"/>
        <w:bottom w:w="0" w:type="dxa"/>
        <w:right w:w="0" w:type="dxa"/>
      </w:tblCellMar>
    </w:tblPr>
  </w:style>
  <w:style w:type="table" w:customStyle="1" w:styleId="146">
    <w:name w:val="Tabela de Lista 6 Colorida1"/>
    <w:qFormat/>
    <w:uiPriority w:val="99"/>
    <w:tblPr>
      <w:tblBorders>
        <w:top w:val="single" w:color="7E7E7E" w:sz="4" w:space="0"/>
        <w:bottom w:val="single" w:color="7E7E7E" w:sz="4" w:space="0"/>
      </w:tblBorders>
      <w:tblCellMar>
        <w:top w:w="0" w:type="dxa"/>
        <w:left w:w="0" w:type="dxa"/>
        <w:bottom w:w="0" w:type="dxa"/>
        <w:right w:w="0" w:type="dxa"/>
      </w:tblCellMar>
    </w:tblPr>
  </w:style>
  <w:style w:type="table" w:customStyle="1" w:styleId="147">
    <w:name w:val="List Table 6 Colorful - Accent 1"/>
    <w:qFormat/>
    <w:uiPriority w:val="99"/>
    <w:tblPr>
      <w:tblBorders>
        <w:top w:val="single" w:color="4F81BD" w:sz="4" w:space="0"/>
        <w:bottom w:val="single" w:color="4F81BD" w:sz="4" w:space="0"/>
      </w:tblBorders>
      <w:tblCellMar>
        <w:top w:w="0" w:type="dxa"/>
        <w:left w:w="0" w:type="dxa"/>
        <w:bottom w:w="0" w:type="dxa"/>
        <w:right w:w="0" w:type="dxa"/>
      </w:tblCellMar>
    </w:tblPr>
  </w:style>
  <w:style w:type="table" w:customStyle="1" w:styleId="148">
    <w:name w:val="List Table 6 Colorful - Accent 2"/>
    <w:qFormat/>
    <w:uiPriority w:val="99"/>
    <w:tblPr>
      <w:tblBorders>
        <w:top w:val="single" w:color="D99795" w:sz="4" w:space="0"/>
        <w:bottom w:val="single" w:color="D99795" w:sz="4" w:space="0"/>
      </w:tblBorders>
      <w:tblCellMar>
        <w:top w:w="0" w:type="dxa"/>
        <w:left w:w="0" w:type="dxa"/>
        <w:bottom w:w="0" w:type="dxa"/>
        <w:right w:w="0" w:type="dxa"/>
      </w:tblCellMar>
    </w:tblPr>
  </w:style>
  <w:style w:type="table" w:customStyle="1" w:styleId="149">
    <w:name w:val="List Table 6 Colorful - Accent 3"/>
    <w:qFormat/>
    <w:uiPriority w:val="99"/>
    <w:tblPr>
      <w:tblBorders>
        <w:top w:val="single" w:color="C3D69C" w:sz="4" w:space="0"/>
        <w:bottom w:val="single" w:color="C3D69C" w:sz="4" w:space="0"/>
      </w:tblBorders>
      <w:tblCellMar>
        <w:top w:w="0" w:type="dxa"/>
        <w:left w:w="0" w:type="dxa"/>
        <w:bottom w:w="0" w:type="dxa"/>
        <w:right w:w="0" w:type="dxa"/>
      </w:tblCellMar>
    </w:tblPr>
  </w:style>
  <w:style w:type="table" w:customStyle="1" w:styleId="150">
    <w:name w:val="List Table 6 Colorful - Accent 4"/>
    <w:qFormat/>
    <w:uiPriority w:val="99"/>
    <w:tblPr>
      <w:tblBorders>
        <w:top w:val="single" w:color="B2A1C6" w:sz="4" w:space="0"/>
        <w:bottom w:val="single" w:color="B2A1C6" w:sz="4" w:space="0"/>
      </w:tblBorders>
      <w:tblCellMar>
        <w:top w:w="0" w:type="dxa"/>
        <w:left w:w="0" w:type="dxa"/>
        <w:bottom w:w="0" w:type="dxa"/>
        <w:right w:w="0" w:type="dxa"/>
      </w:tblCellMar>
    </w:tblPr>
  </w:style>
  <w:style w:type="table" w:customStyle="1" w:styleId="151">
    <w:name w:val="List Table 6 Colorful - Accent 5"/>
    <w:qFormat/>
    <w:uiPriority w:val="99"/>
    <w:tblPr>
      <w:tblBorders>
        <w:top w:val="single" w:color="92CCDC" w:sz="4" w:space="0"/>
        <w:bottom w:val="single" w:color="92CCDC" w:sz="4" w:space="0"/>
      </w:tblBorders>
      <w:tblCellMar>
        <w:top w:w="0" w:type="dxa"/>
        <w:left w:w="0" w:type="dxa"/>
        <w:bottom w:w="0" w:type="dxa"/>
        <w:right w:w="0" w:type="dxa"/>
      </w:tblCellMar>
    </w:tblPr>
  </w:style>
  <w:style w:type="table" w:customStyle="1" w:styleId="152">
    <w:name w:val="List Table 6 Colorful - Accent 6"/>
    <w:qFormat/>
    <w:uiPriority w:val="99"/>
    <w:tblPr>
      <w:tblBorders>
        <w:top w:val="single" w:color="FAC090" w:sz="4" w:space="0"/>
        <w:bottom w:val="single" w:color="FAC090" w:sz="4" w:space="0"/>
      </w:tblBorders>
      <w:tblCellMar>
        <w:top w:w="0" w:type="dxa"/>
        <w:left w:w="0" w:type="dxa"/>
        <w:bottom w:w="0" w:type="dxa"/>
        <w:right w:w="0" w:type="dxa"/>
      </w:tblCellMar>
    </w:tblPr>
  </w:style>
  <w:style w:type="table" w:customStyle="1" w:styleId="153">
    <w:name w:val="Tabela de Lista 7 Colorida1"/>
    <w:qFormat/>
    <w:uiPriority w:val="99"/>
    <w:tblPr>
      <w:tblBorders>
        <w:right w:val="single" w:color="7E7E7E" w:sz="4" w:space="0"/>
      </w:tblBorders>
      <w:tblCellMar>
        <w:top w:w="0" w:type="dxa"/>
        <w:left w:w="0" w:type="dxa"/>
        <w:bottom w:w="0" w:type="dxa"/>
        <w:right w:w="0" w:type="dxa"/>
      </w:tblCellMar>
    </w:tblPr>
  </w:style>
  <w:style w:type="table" w:customStyle="1" w:styleId="154">
    <w:name w:val="List Table 7 Colorful - Accent 1"/>
    <w:qFormat/>
    <w:uiPriority w:val="99"/>
    <w:tblPr>
      <w:tblBorders>
        <w:right w:val="single" w:color="4F81BD" w:sz="4" w:space="0"/>
      </w:tblBorders>
      <w:tblCellMar>
        <w:top w:w="0" w:type="dxa"/>
        <w:left w:w="0" w:type="dxa"/>
        <w:bottom w:w="0" w:type="dxa"/>
        <w:right w:w="0" w:type="dxa"/>
      </w:tblCellMar>
    </w:tblPr>
  </w:style>
  <w:style w:type="table" w:customStyle="1" w:styleId="155">
    <w:name w:val="List Table 7 Colorful - Accent 2"/>
    <w:qFormat/>
    <w:uiPriority w:val="99"/>
    <w:tblPr>
      <w:tblBorders>
        <w:right w:val="single" w:color="D99795" w:sz="4" w:space="0"/>
      </w:tblBorders>
      <w:tblCellMar>
        <w:top w:w="0" w:type="dxa"/>
        <w:left w:w="0" w:type="dxa"/>
        <w:bottom w:w="0" w:type="dxa"/>
        <w:right w:w="0" w:type="dxa"/>
      </w:tblCellMar>
    </w:tblPr>
  </w:style>
  <w:style w:type="table" w:customStyle="1" w:styleId="156">
    <w:name w:val="List Table 7 Colorful - Accent 3"/>
    <w:qFormat/>
    <w:uiPriority w:val="99"/>
    <w:tblPr>
      <w:tblBorders>
        <w:right w:val="single" w:color="C3D69C" w:sz="4" w:space="0"/>
      </w:tblBorders>
      <w:tblCellMar>
        <w:top w:w="0" w:type="dxa"/>
        <w:left w:w="0" w:type="dxa"/>
        <w:bottom w:w="0" w:type="dxa"/>
        <w:right w:w="0" w:type="dxa"/>
      </w:tblCellMar>
    </w:tblPr>
  </w:style>
  <w:style w:type="table" w:customStyle="1" w:styleId="157">
    <w:name w:val="List Table 7 Colorful - Accent 4"/>
    <w:qFormat/>
    <w:uiPriority w:val="99"/>
    <w:tblPr>
      <w:tblBorders>
        <w:right w:val="single" w:color="B2A1C6" w:sz="4" w:space="0"/>
      </w:tblBorders>
      <w:tblCellMar>
        <w:top w:w="0" w:type="dxa"/>
        <w:left w:w="0" w:type="dxa"/>
        <w:bottom w:w="0" w:type="dxa"/>
        <w:right w:w="0" w:type="dxa"/>
      </w:tblCellMar>
    </w:tblPr>
  </w:style>
  <w:style w:type="table" w:customStyle="1" w:styleId="158">
    <w:name w:val="List Table 7 Colorful - Accent 5"/>
    <w:qFormat/>
    <w:uiPriority w:val="99"/>
    <w:tblPr>
      <w:tblBorders>
        <w:right w:val="single" w:color="92CCDC" w:sz="4" w:space="0"/>
      </w:tblBorders>
      <w:tblCellMar>
        <w:top w:w="0" w:type="dxa"/>
        <w:left w:w="0" w:type="dxa"/>
        <w:bottom w:w="0" w:type="dxa"/>
        <w:right w:w="0" w:type="dxa"/>
      </w:tblCellMar>
    </w:tblPr>
  </w:style>
  <w:style w:type="table" w:customStyle="1" w:styleId="159">
    <w:name w:val="List Table 7 Colorful - Accent 6"/>
    <w:qFormat/>
    <w:uiPriority w:val="99"/>
    <w:tblPr>
      <w:tblBorders>
        <w:right w:val="single" w:color="FAC090" w:sz="4" w:space="0"/>
      </w:tblBorders>
      <w:tblCellMar>
        <w:top w:w="0" w:type="dxa"/>
        <w:left w:w="0" w:type="dxa"/>
        <w:bottom w:w="0" w:type="dxa"/>
        <w:right w:w="0" w:type="dxa"/>
      </w:tblCellMar>
    </w:tblPr>
  </w:style>
  <w:style w:type="table" w:customStyle="1" w:styleId="160">
    <w:name w:val="Lined - Accent"/>
    <w:qFormat/>
    <w:uiPriority w:val="99"/>
    <w:rPr>
      <w:color w:val="404040"/>
    </w:rPr>
    <w:tblPr>
      <w:tblCellMar>
        <w:top w:w="0" w:type="dxa"/>
        <w:left w:w="0" w:type="dxa"/>
        <w:bottom w:w="0" w:type="dxa"/>
        <w:right w:w="0" w:type="dxa"/>
      </w:tblCellMar>
    </w:tblPr>
  </w:style>
  <w:style w:type="table" w:customStyle="1" w:styleId="161">
    <w:name w:val="Lined - Accent 1"/>
    <w:qFormat/>
    <w:uiPriority w:val="99"/>
    <w:rPr>
      <w:color w:val="404040"/>
    </w:rPr>
    <w:tblPr>
      <w:tblCellMar>
        <w:top w:w="0" w:type="dxa"/>
        <w:left w:w="0" w:type="dxa"/>
        <w:bottom w:w="0" w:type="dxa"/>
        <w:right w:w="0" w:type="dxa"/>
      </w:tblCellMar>
    </w:tblPr>
  </w:style>
  <w:style w:type="table" w:customStyle="1" w:styleId="162">
    <w:name w:val="Lined - Accent 2"/>
    <w:qFormat/>
    <w:uiPriority w:val="99"/>
    <w:rPr>
      <w:color w:val="404040"/>
    </w:rPr>
    <w:tblPr>
      <w:tblCellMar>
        <w:top w:w="0" w:type="dxa"/>
        <w:left w:w="0" w:type="dxa"/>
        <w:bottom w:w="0" w:type="dxa"/>
        <w:right w:w="0" w:type="dxa"/>
      </w:tblCellMar>
    </w:tblPr>
  </w:style>
  <w:style w:type="table" w:customStyle="1" w:styleId="163">
    <w:name w:val="Lined - Accent 3"/>
    <w:qFormat/>
    <w:uiPriority w:val="99"/>
    <w:rPr>
      <w:color w:val="404040"/>
    </w:rPr>
    <w:tblPr>
      <w:tblCellMar>
        <w:top w:w="0" w:type="dxa"/>
        <w:left w:w="0" w:type="dxa"/>
        <w:bottom w:w="0" w:type="dxa"/>
        <w:right w:w="0" w:type="dxa"/>
      </w:tblCellMar>
    </w:tblPr>
  </w:style>
  <w:style w:type="table" w:customStyle="1" w:styleId="164">
    <w:name w:val="Lined - Accent 4"/>
    <w:qFormat/>
    <w:uiPriority w:val="99"/>
    <w:rPr>
      <w:color w:val="404040"/>
    </w:rPr>
    <w:tblPr>
      <w:tblCellMar>
        <w:top w:w="0" w:type="dxa"/>
        <w:left w:w="0" w:type="dxa"/>
        <w:bottom w:w="0" w:type="dxa"/>
        <w:right w:w="0" w:type="dxa"/>
      </w:tblCellMar>
    </w:tblPr>
  </w:style>
  <w:style w:type="table" w:customStyle="1" w:styleId="165">
    <w:name w:val="Lined - Accent 5"/>
    <w:qFormat/>
    <w:uiPriority w:val="99"/>
    <w:rPr>
      <w:color w:val="404040"/>
    </w:rPr>
    <w:tblPr>
      <w:tblCellMar>
        <w:top w:w="0" w:type="dxa"/>
        <w:left w:w="0" w:type="dxa"/>
        <w:bottom w:w="0" w:type="dxa"/>
        <w:right w:w="0" w:type="dxa"/>
      </w:tblCellMar>
    </w:tblPr>
  </w:style>
  <w:style w:type="table" w:customStyle="1" w:styleId="166">
    <w:name w:val="Lined - Accent 6"/>
    <w:qFormat/>
    <w:uiPriority w:val="99"/>
    <w:rPr>
      <w:color w:val="404040"/>
    </w:rPr>
    <w:tblPr>
      <w:tblCellMar>
        <w:top w:w="0" w:type="dxa"/>
        <w:left w:w="0" w:type="dxa"/>
        <w:bottom w:w="0" w:type="dxa"/>
        <w:right w:w="0" w:type="dxa"/>
      </w:tblCellMar>
    </w:tblPr>
  </w:style>
  <w:style w:type="table" w:customStyle="1" w:styleId="167">
    <w:name w:val="Bordered &amp; Lined - Accent"/>
    <w:qFormat/>
    <w:uiPriority w:val="99"/>
    <w:rPr>
      <w:color w:val="404040"/>
    </w:rPr>
    <w:tblP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0" w:type="dxa"/>
        <w:bottom w:w="0" w:type="dxa"/>
        <w:right w:w="0" w:type="dxa"/>
      </w:tblCellMar>
    </w:tblPr>
  </w:style>
  <w:style w:type="table" w:customStyle="1" w:styleId="168">
    <w:name w:val="Bordered &amp; Lined - Accent 1"/>
    <w:qFormat/>
    <w:uiPriority w:val="99"/>
    <w:rPr>
      <w:color w:val="404040"/>
    </w:rPr>
    <w:tblPr>
      <w:tblBorders>
        <w:top w:val="single" w:color="2A4B71" w:sz="4" w:space="0"/>
        <w:left w:val="single" w:color="2A4B71" w:sz="4" w:space="0"/>
        <w:bottom w:val="single" w:color="2A4B71" w:sz="4" w:space="0"/>
        <w:right w:val="single" w:color="2A4B71" w:sz="4" w:space="0"/>
        <w:insideH w:val="single" w:color="2A4B71" w:sz="4" w:space="0"/>
        <w:insideV w:val="single" w:color="2A4B71" w:sz="4" w:space="0"/>
      </w:tblBorders>
      <w:tblCellMar>
        <w:top w:w="0" w:type="dxa"/>
        <w:left w:w="0" w:type="dxa"/>
        <w:bottom w:w="0" w:type="dxa"/>
        <w:right w:w="0" w:type="dxa"/>
      </w:tblCellMar>
    </w:tblPr>
  </w:style>
  <w:style w:type="table" w:customStyle="1" w:styleId="169">
    <w:name w:val="Bordered &amp; Lined - Accent 2"/>
    <w:qFormat/>
    <w:uiPriority w:val="99"/>
    <w:rPr>
      <w:color w:val="404040"/>
    </w:rPr>
    <w:tblPr>
      <w:tblBorders>
        <w:top w:val="single" w:color="742B29" w:sz="4" w:space="0"/>
        <w:left w:val="single" w:color="742B29" w:sz="4" w:space="0"/>
        <w:bottom w:val="single" w:color="742B29" w:sz="4" w:space="0"/>
        <w:right w:val="single" w:color="742B29" w:sz="4" w:space="0"/>
        <w:insideH w:val="single" w:color="742B29" w:sz="4" w:space="0"/>
        <w:insideV w:val="single" w:color="742B29" w:sz="4" w:space="0"/>
      </w:tblBorders>
      <w:tblCellMar>
        <w:top w:w="0" w:type="dxa"/>
        <w:left w:w="0" w:type="dxa"/>
        <w:bottom w:w="0" w:type="dxa"/>
        <w:right w:w="0" w:type="dxa"/>
      </w:tblCellMar>
    </w:tblPr>
  </w:style>
  <w:style w:type="table" w:customStyle="1" w:styleId="170">
    <w:name w:val="Bordered &amp; Lined - Accent 3"/>
    <w:qFormat/>
    <w:uiPriority w:val="99"/>
    <w:rPr>
      <w:color w:val="404040"/>
    </w:rPr>
    <w:tblPr>
      <w:tblBorders>
        <w:top w:val="single" w:color="5C722E" w:sz="4" w:space="0"/>
        <w:left w:val="single" w:color="5C722E" w:sz="4" w:space="0"/>
        <w:bottom w:val="single" w:color="5C722E" w:sz="4" w:space="0"/>
        <w:right w:val="single" w:color="5C722E" w:sz="4" w:space="0"/>
        <w:insideH w:val="single" w:color="5C722E" w:sz="4" w:space="0"/>
        <w:insideV w:val="single" w:color="5C722E" w:sz="4" w:space="0"/>
      </w:tblBorders>
      <w:tblCellMar>
        <w:top w:w="0" w:type="dxa"/>
        <w:left w:w="0" w:type="dxa"/>
        <w:bottom w:w="0" w:type="dxa"/>
        <w:right w:w="0" w:type="dxa"/>
      </w:tblCellMar>
    </w:tblPr>
  </w:style>
  <w:style w:type="table" w:customStyle="1" w:styleId="171">
    <w:name w:val="Bordered &amp; Lined - Accent 4"/>
    <w:qFormat/>
    <w:uiPriority w:val="99"/>
    <w:rPr>
      <w:color w:val="404040"/>
    </w:rPr>
    <w:tblPr>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CellMar>
        <w:top w:w="0" w:type="dxa"/>
        <w:left w:w="0" w:type="dxa"/>
        <w:bottom w:w="0" w:type="dxa"/>
        <w:right w:w="0" w:type="dxa"/>
      </w:tblCellMar>
    </w:tblPr>
  </w:style>
  <w:style w:type="table" w:customStyle="1" w:styleId="172">
    <w:name w:val="Bordered &amp; Lined - Accent 5"/>
    <w:qFormat/>
    <w:uiPriority w:val="99"/>
    <w:rPr>
      <w:color w:val="404040"/>
    </w:rPr>
    <w:tblPr>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CellMar>
        <w:top w:w="0" w:type="dxa"/>
        <w:left w:w="0" w:type="dxa"/>
        <w:bottom w:w="0" w:type="dxa"/>
        <w:right w:w="0" w:type="dxa"/>
      </w:tblCellMar>
    </w:tblPr>
  </w:style>
  <w:style w:type="table" w:customStyle="1" w:styleId="173">
    <w:name w:val="Bordered &amp; Lined - Accent 6"/>
    <w:qFormat/>
    <w:uiPriority w:val="99"/>
    <w:rPr>
      <w:color w:val="404040"/>
    </w:rPr>
    <w:tblPr>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CellMar>
        <w:top w:w="0" w:type="dxa"/>
        <w:left w:w="0" w:type="dxa"/>
        <w:bottom w:w="0" w:type="dxa"/>
        <w:right w:w="0" w:type="dxa"/>
      </w:tblCellMar>
    </w:tblPr>
  </w:style>
  <w:style w:type="table" w:customStyle="1" w:styleId="174">
    <w:name w:val="Bordered"/>
    <w:qFormat/>
    <w:uiPriority w:val="99"/>
    <w:tblPr>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
  </w:style>
  <w:style w:type="table" w:customStyle="1" w:styleId="175">
    <w:name w:val="Bordered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176">
    <w:name w:val="Bordered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177">
    <w:name w:val="Bordered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178">
    <w:name w:val="Bordered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179">
    <w:name w:val="Bordered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180">
    <w:name w:val="Bordered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paragraph" w:customStyle="1" w:styleId="181">
    <w:name w:val="Cabeçalho do Sumário1"/>
    <w:unhideWhenUsed/>
    <w:qFormat/>
    <w:uiPriority w:val="39"/>
    <w:rPr>
      <w:rFonts w:ascii="Times New Roman" w:hAnsi="Times New Roman" w:eastAsia="SimSun" w:cs="Times New Roman"/>
      <w:lang w:val="pt-BR" w:eastAsia="pt-BR" w:bidi="ar-SA"/>
    </w:rPr>
  </w:style>
  <w:style w:type="paragraph" w:customStyle="1" w:styleId="182">
    <w:name w:val="Título 11"/>
    <w:basedOn w:val="1"/>
    <w:next w:val="1"/>
    <w:qFormat/>
    <w:uiPriority w:val="0"/>
    <w:pPr>
      <w:keepNext/>
      <w:tabs>
        <w:tab w:val="left" w:pos="720"/>
      </w:tabs>
      <w:spacing w:before="240" w:after="60" w:line="240" w:lineRule="auto"/>
      <w:ind w:left="720" w:hanging="720"/>
    </w:pPr>
    <w:rPr>
      <w:rFonts w:ascii="Cambria" w:hAnsi="Cambria" w:eastAsia="Cambria"/>
      <w:b/>
      <w:sz w:val="32"/>
      <w:szCs w:val="32"/>
    </w:rPr>
  </w:style>
  <w:style w:type="paragraph" w:customStyle="1" w:styleId="183">
    <w:name w:val="Título 21"/>
    <w:basedOn w:val="1"/>
    <w:next w:val="1"/>
    <w:qFormat/>
    <w:uiPriority w:val="0"/>
    <w:pPr>
      <w:keepNext/>
      <w:tabs>
        <w:tab w:val="left" w:pos="1440"/>
      </w:tabs>
      <w:spacing w:before="240" w:after="60" w:line="240" w:lineRule="auto"/>
      <w:ind w:left="1440" w:hanging="720"/>
    </w:pPr>
    <w:rPr>
      <w:rFonts w:ascii="Cambria" w:hAnsi="Cambria" w:eastAsia="Cambria"/>
      <w:b/>
      <w:i/>
      <w:sz w:val="28"/>
      <w:szCs w:val="28"/>
    </w:rPr>
  </w:style>
  <w:style w:type="paragraph" w:customStyle="1" w:styleId="184">
    <w:name w:val="Título 31"/>
    <w:basedOn w:val="1"/>
    <w:next w:val="1"/>
    <w:qFormat/>
    <w:uiPriority w:val="0"/>
    <w:pPr>
      <w:keepNext/>
      <w:tabs>
        <w:tab w:val="left" w:pos="2160"/>
      </w:tabs>
      <w:spacing w:before="240" w:after="60" w:line="240" w:lineRule="auto"/>
      <w:ind w:left="2160" w:hanging="720"/>
    </w:pPr>
    <w:rPr>
      <w:rFonts w:ascii="Cambria" w:hAnsi="Cambria" w:eastAsia="Cambria"/>
      <w:b/>
      <w:sz w:val="26"/>
      <w:szCs w:val="26"/>
    </w:rPr>
  </w:style>
  <w:style w:type="paragraph" w:customStyle="1" w:styleId="185">
    <w:name w:val="Título 41"/>
    <w:basedOn w:val="1"/>
    <w:next w:val="1"/>
    <w:qFormat/>
    <w:uiPriority w:val="0"/>
    <w:pPr>
      <w:keepNext/>
      <w:tabs>
        <w:tab w:val="left" w:pos="2880"/>
      </w:tabs>
      <w:spacing w:before="240" w:after="60" w:line="240" w:lineRule="auto"/>
      <w:ind w:left="2880" w:hanging="720"/>
    </w:pPr>
    <w:rPr>
      <w:b/>
      <w:sz w:val="28"/>
      <w:szCs w:val="28"/>
    </w:rPr>
  </w:style>
  <w:style w:type="paragraph" w:customStyle="1" w:styleId="186">
    <w:name w:val="Título 51"/>
    <w:basedOn w:val="1"/>
    <w:next w:val="1"/>
    <w:qFormat/>
    <w:uiPriority w:val="0"/>
    <w:pPr>
      <w:tabs>
        <w:tab w:val="left" w:pos="3600"/>
      </w:tabs>
      <w:spacing w:before="240" w:after="60" w:line="240" w:lineRule="auto"/>
      <w:ind w:left="3600" w:hanging="720"/>
    </w:pPr>
    <w:rPr>
      <w:b/>
      <w:i/>
      <w:sz w:val="26"/>
      <w:szCs w:val="26"/>
    </w:rPr>
  </w:style>
  <w:style w:type="paragraph" w:customStyle="1" w:styleId="187">
    <w:name w:val="Título 61"/>
    <w:basedOn w:val="1"/>
    <w:next w:val="1"/>
    <w:qFormat/>
    <w:uiPriority w:val="0"/>
    <w:pPr>
      <w:tabs>
        <w:tab w:val="left" w:pos="4320"/>
      </w:tabs>
      <w:spacing w:before="240" w:after="60" w:line="240" w:lineRule="auto"/>
      <w:ind w:left="4320" w:hanging="720"/>
    </w:pPr>
    <w:rPr>
      <w:rFonts w:eastAsia="Times New Roman"/>
      <w:b/>
    </w:rPr>
  </w:style>
  <w:style w:type="character" w:customStyle="1" w:styleId="188">
    <w:name w:val="Fonte parág. padrão1"/>
    <w:semiHidden/>
    <w:qFormat/>
    <w:uiPriority w:val="0"/>
  </w:style>
  <w:style w:type="table" w:customStyle="1" w:styleId="189">
    <w:name w:val="Tabela normal1"/>
    <w:semiHidden/>
    <w:qFormat/>
    <w:uiPriority w:val="0"/>
    <w:tblPr>
      <w:tblCellMar>
        <w:top w:w="0" w:type="dxa"/>
        <w:left w:w="0" w:type="dxa"/>
        <w:bottom w:w="0" w:type="dxa"/>
        <w:right w:w="0" w:type="dxa"/>
      </w:tblCellMar>
    </w:tblPr>
  </w:style>
  <w:style w:type="paragraph" w:customStyle="1" w:styleId="190">
    <w:name w:val="Título1"/>
    <w:basedOn w:val="1"/>
    <w:next w:val="1"/>
    <w:qFormat/>
    <w:uiPriority w:val="0"/>
    <w:pPr>
      <w:keepNext/>
      <w:keepLines/>
      <w:spacing w:before="480" w:after="120"/>
    </w:pPr>
    <w:rPr>
      <w:b/>
      <w:sz w:val="72"/>
      <w:szCs w:val="72"/>
    </w:rPr>
  </w:style>
  <w:style w:type="paragraph" w:customStyle="1" w:styleId="191">
    <w:name w:val="Subtítulo1"/>
    <w:basedOn w:val="1"/>
    <w:next w:val="1"/>
    <w:qFormat/>
    <w:uiPriority w:val="0"/>
    <w:pPr>
      <w:keepNext/>
      <w:keepLines/>
      <w:spacing w:before="360" w:after="80"/>
    </w:pPr>
    <w:rPr>
      <w:rFonts w:ascii="Georgia" w:hAnsi="Georgia" w:eastAsia="Georgia"/>
      <w:i/>
      <w:color w:val="666666"/>
      <w:sz w:val="48"/>
      <w:szCs w:val="48"/>
    </w:rPr>
  </w:style>
  <w:style w:type="table" w:customStyle="1" w:styleId="192">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2619</Words>
  <Characters>14143</Characters>
  <Lines>117</Lines>
  <Paragraphs>33</Paragraphs>
  <TotalTime>247</TotalTime>
  <ScaleCrop>false</ScaleCrop>
  <LinksUpToDate>false</LinksUpToDate>
  <CharactersWithSpaces>16729</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2025-02-20T19:27:00Z</dcterms:created>
  <dc:creator>Assistencia</dc:creator>
  <cp:lastModifiedBy>JUhh ABREU</cp:lastModifiedBy>
  <cp:lastPrinted>2025-02-24T16:11:14Z</cp:lastPrinted>
  <dcterms:modified xsi:type="dcterms:W3CDTF">2025-02-24T17:57:42Z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1046-12.2.0.19805</vt:lpwstr>
  </property>
  <property fmtid="{D5CDD505-2E9C-101B-9397-08002B2CF9AE}" pid="3" name="ICV">
    <vt:lpwstr>6DAEEA96F2404BAEA8C9DB4E09CDF556_13</vt:lpwstr>
  </property>
</Properties>
</file>