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1200"/>
        <w:jc w:val="center"/>
      </w:pPr>
      <w:r>
        <w:rPr>
          <w:rFonts w:ascii="Calibri" w:cs="Calibri" w:eastAsia="Calibri" w:hAnsi="Calibri"/>
          <w:b/>
          <w:bCs/>
          <w:color w:val="8B1A1A"/>
          <w:sz w:val="56"/>
          <w:szCs w:val="56"/>
        </w:rPr>
        <w:t xml:space="preserve">PLAN D'ENTRAÎNEMENT</w:t>
      </w:r>
    </w:p>
    <w:p>
      <w:pPr>
        <w:spacing w:after="100"/>
        <w:jc w:val="center"/>
      </w:pPr>
      <w:r>
        <w:rPr>
          <w:rFonts w:ascii="Calibri" w:cs="Calibri" w:eastAsia="Calibri" w:hAnsi="Calibri"/>
          <w:color w:val="2F2A2E"/>
          <w:sz w:val="32"/>
          <w:szCs w:val="32"/>
        </w:rPr>
        <w:t xml:space="preserve">Modèles prédictifs en temps réel — manches de Mortal Kombat</w:t>
      </w:r>
    </w:p>
    <w:p>
      <w:pPr>
        <w:spacing w:after="600"/>
        <w:jc w:val="center"/>
      </w:pPr>
      <w:r>
        <w:rPr>
          <w:rFonts w:ascii="Calibri" w:cs="Calibri" w:eastAsia="Calibri" w:hAnsi="Calibri"/>
          <w:i/>
          <w:iCs/>
          <w:sz w:val="22"/>
          <w:szCs w:val="22"/>
        </w:rPr>
        <w:t xml:space="preserve">Collecteur de cotes MelBet Cameroun — Mortal Kombat X &amp; Mortal Kombat 3</w:t>
      </w:r>
    </w:p>
    <w:p>
      <w:pPr>
        <w:spacing w:after="40"/>
        <w:jc w:val="center"/>
      </w:pPr>
      <w:r>
        <w:rPr>
          <w:rFonts w:ascii="Calibri" w:cs="Calibri" w:eastAsia="Calibri" w:hAnsi="Calibri"/>
          <w:sz w:val="20"/>
          <w:szCs w:val="20"/>
        </w:rPr>
        <w:t xml:space="preserve">Préparé pour Jeremie Ndjock</w:t>
      </w:r>
    </w:p>
    <w:p>
      <w:pPr>
        <w:spacing w:after="40"/>
        <w:jc w:val="center"/>
      </w:pPr>
      <w:r>
        <w:rPr>
          <w:rFonts w:ascii="Calibri" w:cs="Calibri" w:eastAsia="Calibri" w:hAnsi="Calibri"/>
          <w:sz w:val="20"/>
          <w:szCs w:val="20"/>
        </w:rPr>
        <w:t xml:space="preserve">22 septembre 2026 — mis à jour le 24 septembre 2026</w:t>
      </w:r>
    </w:p>
    <w:p>
      <w:r>
        <w:br w:type="page"/>
      </w:r>
    </w:p>
    <w:p>
      <w:pPr>
        <w:pStyle w:val="Heading1"/>
        <w:spacing w:after="200" w:before="400"/>
      </w:pPr>
      <w:r>
        <w:rPr>
          <w:rFonts w:ascii="Calibri" w:cs="Calibri" w:eastAsia="Calibri" w:hAnsi="Calibri"/>
          <w:b/>
          <w:bCs/>
          <w:color w:val="8B1A1A"/>
        </w:rPr>
        <w:t xml:space="preserve">Sommaire</w:t>
      </w:r>
    </w:p>
    <w:sdt>
      <w:sdtPr>
        <w:alias w:val="Sommaire"/>
      </w:sdtPr>
      <w:sdtContent>
        <w:p>
          <w:r>
            <w:fldChar w:fldCharType="begin" w:dirty="true"/>
            <w:instrText xml:space="preserve">TOC \h \o "1-3"</w:instrText>
            <w:fldChar w:fldCharType="separate"/>
          </w:r>
        </w:p>
        <w:p>
          <w:r>
            <w:fldChar w:fldCharType="end"/>
          </w:r>
        </w:p>
      </w:sdtContent>
    </w:sdt>
    <w:p>
      <w:r>
        <w:br w:type="page"/>
      </w:r>
    </w:p>
    <w:p>
      <w:pPr>
        <w:pStyle w:val="Heading1"/>
        <w:spacing w:after="200" w:before="400"/>
      </w:pPr>
      <w:r>
        <w:rPr>
          <w:rFonts w:ascii="Calibri" w:cs="Calibri" w:eastAsia="Calibri" w:hAnsi="Calibri"/>
          <w:b/>
          <w:bCs/>
          <w:color w:val="8B1A1A"/>
        </w:rPr>
        <w:t xml:space="preserve">1. Objectifs et périmètre</w:t>
      </w:r>
    </w:p>
    <w:p>
      <w:pPr>
        <w:spacing w:after="160"/>
      </w:pPr>
      <w:r>
        <w:rPr>
          <w:rFonts w:ascii="Calibri" w:cs="Calibri" w:eastAsia="Calibri" w:hAnsi="Calibri"/>
          <w:b w:val="false"/>
          <w:bCs w:val="false"/>
          <w:i w:val="false"/>
          <w:iCs w:val="false"/>
        </w:rPr>
        <w:t xml:space="preserve">Ce document détaille le plan d'entraînement de deux modèles prédictifs distincts, un par ligue, tous deux alimentés en temps réel par les données déjà collectées par le pipeline en production (voir Memoire.md et docs/architecture.md pour le contexte complet du système de collecte).</w:t>
      </w:r>
    </w:p>
    <w:p>
      <w:pPr>
        <w:pStyle w:val="Heading2"/>
        <w:spacing w:after="150" w:before="300"/>
      </w:pPr>
      <w:r>
        <w:rPr>
          <w:rFonts w:ascii="Calibri" w:cs="Calibri" w:eastAsia="Calibri" w:hAnsi="Calibri"/>
          <w:b/>
          <w:bCs/>
          <w:color w:val="2F2A2E"/>
        </w:rPr>
        <w:t xml:space="preserve">1.1 Modèle Mortal Kombat X — durée de la manche en cours</w:t>
      </w:r>
    </w:p>
    <w:p>
      <w:pPr>
        <w:spacing w:after="160"/>
      </w:pPr>
      <w:r>
        <w:rPr>
          <w:rFonts w:ascii="Calibri" w:cs="Calibri" w:eastAsia="Calibri" w:hAnsi="Calibri"/>
          <w:b w:val="false"/>
          <w:bCs w:val="false"/>
          <w:i w:val="false"/>
          <w:iCs w:val="false"/>
        </w:rPr>
        <w:t xml:space="preserve">Pour un match en cours de Mortal Kombat X, prédire, dès le début d'une manche, la probabilité que sa durée soit supérieure ou inférieure à un seuil donné. Sortie : une probabilité (pas seulement une classe), pour rester comparable au marché « Durée du Round » déjà proposé par le bookmaker (groupe 1074).</w:t>
      </w:r>
    </w:p>
    <w:p>
      <w:pPr>
        <w:pStyle w:val="Heading2"/>
        <w:spacing w:after="150" w:before="300"/>
      </w:pPr>
      <w:r>
        <w:rPr>
          <w:rFonts w:ascii="Calibri" w:cs="Calibri" w:eastAsia="Calibri" w:hAnsi="Calibri"/>
          <w:b/>
          <w:bCs/>
          <w:color w:val="2F2A2E"/>
        </w:rPr>
        <w:t xml:space="preserve">1.2 Modèle Mortal Kombat 3 — type de finish de la manche en cours</w:t>
      </w:r>
    </w:p>
    <w:p>
      <w:pPr>
        <w:spacing w:after="160"/>
      </w:pPr>
      <w:r>
        <w:rPr>
          <w:rFonts w:ascii="Calibri" w:cs="Calibri" w:eastAsia="Calibri" w:hAnsi="Calibri"/>
          <w:b w:val="false"/>
          <w:bCs w:val="false"/>
          <w:i w:val="false"/>
          <w:iCs w:val="false"/>
        </w:rPr>
        <w:t xml:space="preserve">Pour un match en cours de Mortal Kombat 3, prédire, dès le début d'une manche (ou dès que son issue devient imminente), le type de finish qui la conclura : Regular, Fatality, Brutality, Babality, Friendship, Animality ou Hara-Kiri. Sortie : une distribution de probabilité sur les 7 classes, pas seulement la classe la plus probable.</w:t>
      </w:r>
    </w:p>
    <w:p>
      <w:pPr>
        <w:pStyle w:val="Heading2"/>
        <w:spacing w:after="150" w:before="300"/>
      </w:pPr>
      <w:r>
        <w:rPr>
          <w:rFonts w:ascii="Calibri" w:cs="Calibri" w:eastAsia="Calibri" w:hAnsi="Calibri"/>
          <w:b/>
          <w:bCs/>
          <w:color w:val="2F2A2E"/>
        </w:rPr>
        <w:t xml:space="preserve">1.3 Ce que ces modèles ne feront pas — limites assumées dès le départ</w:t>
      </w:r>
    </w:p>
    <w:p>
      <w:pPr>
        <w:pStyle w:val="ListParagraph"/>
        <w:numPr>
          <w:ilvl w:val="0"/>
          <w:numId w:val="2"/>
        </w:numPr>
        <w:spacing w:after="80"/>
      </w:pPr>
      <w:r>
        <w:rPr>
          <w:rFonts w:ascii="Calibri" w:cs="Calibri" w:eastAsia="Calibri" w:hAnsi="Calibri"/>
        </w:rPr>
        <w:t xml:space="preserve">Ni l'un ni l'autre ne visera une exactitude parfaite : ce sont des matchs simulés (esport virtuel), pas des joueurs humains — la durée et l'issue d'une manche sortent d'un générateur du fournisseur du jeu, dont on ignore les paramètres exacts. Il existe donc un plancher d'aléa irréductible.</w:t>
      </w:r>
    </w:p>
    <w:p>
      <w:pPr>
        <w:pStyle w:val="ListParagraph"/>
        <w:numPr>
          <w:ilvl w:val="0"/>
          <w:numId w:val="2"/>
        </w:numPr>
        <w:spacing w:after="80"/>
      </w:pPr>
      <w:r>
        <w:rPr>
          <w:rFonts w:ascii="Calibri" w:cs="Calibri" w:eastAsia="Calibri" w:hAnsi="Calibri"/>
        </w:rPr>
        <w:t xml:space="preserve">Aucun seuil de performance n'est promis à l'avance : le vrai critère de succès est de faire mieux que la cote déjà publiée par le bookmaker (section 8), pas d'atteindre un chiffre absolu déconnecté du marché.</w:t>
      </w:r>
    </w:p>
    <w:p>
      <w:pPr>
        <w:pStyle w:val="ListParagraph"/>
        <w:numPr>
          <w:ilvl w:val="0"/>
          <w:numId w:val="2"/>
        </w:numPr>
        <w:spacing w:after="80"/>
      </w:pPr>
      <w:r>
        <w:rPr>
          <w:rFonts w:ascii="Calibri" w:cs="Calibri" w:eastAsia="Calibri" w:hAnsi="Calibri"/>
        </w:rPr>
        <w:t xml:space="preserve">Ce document ne couvre pas l'intégration temps réel dans le collecteur existant (Telegram, alerting) : elle est esquissée en section 11 comme une phase ultérieure, hors du périmètre d'entraînement lui-même.</w:t>
      </w:r>
    </w:p>
    <w:p>
      <w:pPr>
        <w:pStyle w:val="Heading1"/>
        <w:spacing w:after="200" w:before="400"/>
      </w:pPr>
      <w:r>
        <w:rPr>
          <w:rFonts w:ascii="Calibri" w:cs="Calibri" w:eastAsia="Calibri" w:hAnsi="Calibri"/>
          <w:b/>
          <w:bCs/>
          <w:color w:val="8B1A1A"/>
        </w:rPr>
        <w:t xml:space="preserve">2. Données sources (rappel du schéma)</w:t>
      </w:r>
    </w:p>
    <w:p>
      <w:pPr>
        <w:spacing w:after="160"/>
      </w:pPr>
      <w:r>
        <w:rPr>
          <w:rFonts w:ascii="Calibri" w:cs="Calibri" w:eastAsia="Calibri" w:hAnsi="Calibri"/>
          <w:b w:val="false"/>
          <w:bCs w:val="false"/>
          <w:i w:val="false"/>
          <w:iCs w:val="false"/>
        </w:rPr>
        <w:t xml:space="preserve">Toutes les tables ci-dessous existent déjà en production (voir migrations/001 à 008) et sont alimentées en continu, avec une rétention indéfinie.</w:t>
      </w:r>
    </w:p>
    <w:p>
      <w:pPr>
        <w:shd w:fill="FCEEEE" w:val="clear"/>
        <w:spacing w:after="200" w:before="100"/>
        <w:ind w:left="200"/>
      </w:pPr>
      <w:r>
        <w:rPr>
          <w:rFonts w:ascii="Calibri" w:cs="Calibri" w:eastAsia="Calibri" w:hAnsi="Calibri"/>
          <w:i/>
          <w:iCs/>
          <w:color w:val="8B1A1A"/>
          <w:sz w:val="20"/>
          <w:szCs w:val="20"/>
        </w:rPr>
        <w:t xml:space="preserve">⚠ Mesuré le 25 septembre 2026 : grâce au rattrapage des résultats officiels (90 jours), results et round_results couvrent déjà 3 mois (depuis le 24 juin), soit ≈ 26 700 matchs et ≈ 190 000 manches par ligue, avec vainqueur et type de finish de chaque manche. En revanche, la durée de manche (seconds, fil en direct) et les cotes (odds_snapshots) n'existent que depuis le 22 septembre.</w:t>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2200"/>
        <w:gridCol w:w="6400"/>
      </w:tblGrid>
      <w:tr>
        <w:tc>
          <w:tcPr>
            <w:tcW w:type="dxa" w:w="2200"/>
            <w:shd w:fill="8B1A1A"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Table</w:t>
            </w:r>
          </w:p>
        </w:tc>
        <w:tc>
          <w:tcPr>
            <w:tcW w:type="dxa" w:w="6400"/>
            <w:shd w:fill="8B1A1A"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Champs utiles pour ces deux modèles</w:t>
            </w:r>
          </w:p>
        </w:tc>
      </w:tr>
      <w:tr>
        <w:tc>
          <w:tcPr>
            <w:tcW w:type="dxa" w:w="22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events</w:t>
            </w:r>
          </w:p>
        </w:tc>
        <w:tc>
          <w:tcPr>
            <w:tcW w:type="dxa" w:w="64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league_id, p1_name, p2_name, start_ts, status — identité du match et des deux combattants</w:t>
            </w:r>
          </w:p>
        </w:tc>
      </w:tr>
      <w:tr>
        <w:tc>
          <w:tcPr>
            <w:tcW w:type="dxa" w:w="22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round_results</w:t>
            </w:r>
          </w:p>
        </w:tc>
        <w:tc>
          <w:tcPr>
            <w:tcW w:type="dxa" w:w="64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round_no, winner, seconds (durée — cible du modèle MKX), finish_di (type de finish — cible du modèle MK3), fw, wt</w:t>
            </w:r>
          </w:p>
        </w:tc>
      </w:tr>
      <w:tr>
        <w:tc>
          <w:tcPr>
            <w:tcW w:type="dxa" w:w="22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game_state</w:t>
            </w:r>
          </w:p>
        </w:tc>
        <w:tc>
          <w:tcPr>
            <w:tcW w:type="dxa" w:w="64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score1/score2, period, elapsed_s — évolution du score en direct</w:t>
            </w:r>
          </w:p>
        </w:tc>
      </w:tr>
      <w:tr>
        <w:tc>
          <w:tcPr>
            <w:tcW w:type="dxa" w:w="22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odds_snapshots</w:t>
            </w:r>
          </w:p>
        </w:tc>
        <w:tc>
          <w:tcPr>
            <w:tcW w:type="dxa" w:w="64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g=1074 (Durée du Round, Plus/Moins) : ligne et cote de référence pour le modèle MKX. g=1066 (Mode de Victoire : Fatality/Brutality/No Finish) et g=3533 (Fatality dans Round, Oui/Non) : référence partielle pour le modèle MK3.</w:t>
            </w:r>
          </w:p>
        </w:tc>
      </w:tr>
      <w:tr>
        <w:tc>
          <w:tcPr>
            <w:tcW w:type="dxa" w:w="22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results</w:t>
            </w:r>
          </w:p>
        </w:tc>
        <w:tc>
          <w:tcPr>
            <w:tcW w:type="dxa" w:w="64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final_score1/2, winner, date_start — rattrapage historique, utile pour enrichir l'historique par combattant au-delà de ce que le direct a capté</w:t>
            </w:r>
          </w:p>
        </w:tc>
      </w:tr>
    </w:tbl>
    <w:p>
      <w:pPr>
        <w:shd w:fill="FCEEEE" w:val="clear"/>
        <w:spacing w:after="200" w:before="100"/>
        <w:ind w:left="200"/>
      </w:pPr>
      <w:r>
        <w:rPr>
          <w:rFonts w:ascii="Calibri" w:cs="Calibri" w:eastAsia="Calibri" w:hAnsi="Calibri"/>
          <w:i/>
          <w:iCs/>
          <w:color w:val="8B1A1A"/>
          <w:sz w:val="20"/>
          <w:szCs w:val="20"/>
        </w:rPr>
        <w:t xml:space="preserve">⚠ Corrigé le 25 septembre 2026 : sur Mortal Kombat 3, le marché « Mode de Victoire » (groupe 1066) couvre bien les 7 classes (4059 No Finish = Regular, 4057 Fatality, 4058 Brutality, 14003 Babality, 13550 Amitié, 14005 Animality, 14007 Hara-Kiri). Seul Mortal Kombat X se limite à 3 issues. Le marché « Durée du Round » (1074) propose plusieurs lignes par manche ; la ligne principale est celle dont les cotes « plus » et « moins » sont les plus proches (l'indicateur is_center du site n'est jamais renseigné).</w:t>
      </w:r>
    </w:p>
    <w:p>
      <w:pPr>
        <w:pStyle w:val="Heading1"/>
        <w:spacing w:after="200" w:before="400"/>
      </w:pPr>
      <w:r>
        <w:rPr>
          <w:rFonts w:ascii="Calibri" w:cs="Calibri" w:eastAsia="Calibri" w:hAnsi="Calibri"/>
          <w:b/>
          <w:bCs/>
          <w:color w:val="8B1A1A"/>
        </w:rPr>
        <w:t xml:space="preserve">3. Définition précise des cibles</w:t>
      </w:r>
    </w:p>
    <w:p>
      <w:pPr>
        <w:pStyle w:val="Heading2"/>
        <w:spacing w:after="150" w:before="300"/>
      </w:pPr>
      <w:r>
        <w:rPr>
          <w:rFonts w:ascii="Calibri" w:cs="Calibri" w:eastAsia="Calibri" w:hAnsi="Calibri"/>
          <w:b/>
          <w:bCs/>
          <w:color w:val="2F2A2E"/>
        </w:rPr>
        <w:t xml:space="preserve">3.1 Modèle Mortal Kombat X : cible binaire ancrée sur le marché</w:t>
      </w:r>
    </w:p>
    <w:p>
      <w:pPr>
        <w:spacing w:after="160"/>
      </w:pPr>
      <w:r>
        <w:rPr>
          <w:rFonts w:ascii="Calibri" w:cs="Calibri" w:eastAsia="Calibri" w:hAnsi="Calibri"/>
          <w:b w:val="false"/>
          <w:bCs w:val="false"/>
          <w:i w:val="false"/>
          <w:iCs w:val="false"/>
        </w:rPr>
        <w:t xml:space="preserve">Plutôt qu'un seuil fixe arbitraire (ex. « plus ou moins de 30 secondes », qui n'aurait aucun sens si le marché coté ce jour-là est « plus ou moins de 45 secondes »), la cible est définie relativement à la ligne réellement proposée par le marché « Durée du Round » (groupe 1074) au moment de la manche :</w:t>
      </w:r>
    </w:p>
    <w:p>
      <w:pPr>
        <w:shd w:fill="F2EFEF" w:val="clear"/>
        <w:spacing w:after="200" w:before="100"/>
        <w:ind w:left="200" w:right="200"/>
      </w:pPr>
      <w:r>
        <w:rPr>
          <w:rFonts w:ascii="Consolas" w:cs="Consolas" w:eastAsia="Consolas" w:hAnsi="Consolas"/>
          <w:sz w:val="18"/>
          <w:szCs w:val="18"/>
        </w:rPr>
        <w:t xml:space="preserve">y = 1  si durée_réelle_de_la_manche &gt; ligne_du_marché_à_cet_instant</w:t>
      </w:r>
      <w:r>
        <w:rPr>
          <w:rFonts w:ascii="Consolas" w:cs="Consolas" w:eastAsia="Consolas" w:hAnsi="Consolas"/>
          <w:sz w:val="18"/>
          <w:szCs w:val="18"/>
        </w:rPr>
        <w:br/>
        <w:t xml:space="preserve">y = 0  sinon</w:t>
      </w:r>
    </w:p>
    <w:p>
      <w:pPr>
        <w:spacing w:after="160"/>
      </w:pPr>
      <w:r>
        <w:rPr>
          <w:rFonts w:ascii="Calibri" w:cs="Calibri" w:eastAsia="Calibri" w:hAnsi="Calibri"/>
          <w:b w:val="false"/>
          <w:bCs w:val="false"/>
          <w:i w:val="false"/>
          <w:iCs w:val="false"/>
        </w:rPr>
        <w:t xml:space="preserve">Cette définition rend le modèle directement comparable à la cote du bookmaker (section 8) et évite un seuil arbitraire qui deviendrait obsolète si le fournisseur change ses lignes.</w:t>
      </w:r>
    </w:p>
    <w:p>
      <w:pPr>
        <w:pStyle w:val="Heading2"/>
        <w:spacing w:after="150" w:before="300"/>
      </w:pPr>
      <w:r>
        <w:rPr>
          <w:rFonts w:ascii="Calibri" w:cs="Calibri" w:eastAsia="Calibri" w:hAnsi="Calibri"/>
          <w:b/>
          <w:bCs/>
          <w:color w:val="2F2A2E"/>
        </w:rPr>
        <w:t xml:space="preserve">3.2 Modèle Mortal Kombat 3 : cible multiclasse, fortement déséquilibrée</w:t>
      </w:r>
    </w:p>
    <w:p>
      <w:pPr>
        <w:spacing w:after="160"/>
      </w:pPr>
      <w:r>
        <w:rPr>
          <w:rFonts w:ascii="Calibri" w:cs="Calibri" w:eastAsia="Calibri" w:hAnsi="Calibri"/>
          <w:b w:val="false"/>
          <w:bCs w:val="false"/>
          <w:i w:val="false"/>
          <w:iCs w:val="false"/>
        </w:rPr>
        <w:t xml:space="preserve">Cible : finish_di ∈ {Regular, Fatality, Brutality, Babality, Friendship, Animality, Hara-Kiri}. Distribution mesurée sur Mortal Kombat 3 (Memoire.md, section 15, 24 h de relevé) :</w:t>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2600"/>
        <w:gridCol w:w="2000"/>
        <w:gridCol w:w="2000"/>
        <w:gridCol w:w="2000"/>
      </w:tblGrid>
      <w:tr>
        <w:tc>
          <w:tcPr>
            <w:tcW w:type="dxa" w:w="2600"/>
            <w:shd w:fill="8B1A1A"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Type de finish</w:t>
            </w:r>
          </w:p>
        </w:tc>
        <w:tc>
          <w:tcPr>
            <w:tcW w:type="dxa" w:w="2000"/>
            <w:shd w:fill="8B1A1A"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Fréquence MK3</w:t>
            </w:r>
          </w:p>
        </w:tc>
        <w:tc>
          <w:tcPr>
            <w:tcW w:type="dxa" w:w="2000"/>
            <w:shd w:fill="8B1A1A"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 manches/jour</w:t>
            </w:r>
          </w:p>
        </w:tc>
        <w:tc>
          <w:tcPr>
            <w:tcW w:type="dxa" w:w="2000"/>
            <w:shd w:fill="8B1A1A"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Manches pour 100 exemples</w:t>
            </w:r>
          </w:p>
        </w:tc>
      </w:tr>
      <w:tr>
        <w:tc>
          <w:tcPr>
            <w:tcW w:type="dxa" w:w="26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Regular</w:t>
            </w:r>
          </w:p>
        </w:tc>
        <w:tc>
          <w:tcPr>
            <w:tcW w:type="dxa" w:w="20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48,4 %</w:t>
            </w:r>
          </w:p>
        </w:tc>
        <w:tc>
          <w:tcPr>
            <w:tcW w:type="dxa" w:w="20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 1 017</w:t>
            </w:r>
          </w:p>
        </w:tc>
        <w:tc>
          <w:tcPr>
            <w:tcW w:type="dxa" w:w="20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&lt; 1 jour</w:t>
            </w:r>
          </w:p>
        </w:tc>
      </w:tr>
      <w:tr>
        <w:tc>
          <w:tcPr>
            <w:tcW w:type="dxa" w:w="26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Fatality</w:t>
            </w:r>
          </w:p>
        </w:tc>
        <w:tc>
          <w:tcPr>
            <w:tcW w:type="dxa" w:w="20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39,3 %</w:t>
            </w:r>
          </w:p>
        </w:tc>
        <w:tc>
          <w:tcPr>
            <w:tcW w:type="dxa" w:w="20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 825</w:t>
            </w:r>
          </w:p>
        </w:tc>
        <w:tc>
          <w:tcPr>
            <w:tcW w:type="dxa" w:w="20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&lt; 1 jour</w:t>
            </w:r>
          </w:p>
        </w:tc>
      </w:tr>
      <w:tr>
        <w:tc>
          <w:tcPr>
            <w:tcW w:type="dxa" w:w="26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Brutality</w:t>
            </w:r>
          </w:p>
        </w:tc>
        <w:tc>
          <w:tcPr>
            <w:tcW w:type="dxa" w:w="20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8,0 %</w:t>
            </w:r>
          </w:p>
        </w:tc>
        <w:tc>
          <w:tcPr>
            <w:tcW w:type="dxa" w:w="20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 168</w:t>
            </w:r>
          </w:p>
        </w:tc>
        <w:tc>
          <w:tcPr>
            <w:tcW w:type="dxa" w:w="20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&lt; 1 jour</w:t>
            </w:r>
          </w:p>
        </w:tc>
      </w:tr>
      <w:tr>
        <w:tc>
          <w:tcPr>
            <w:tcW w:type="dxa" w:w="26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Babality</w:t>
            </w:r>
          </w:p>
        </w:tc>
        <w:tc>
          <w:tcPr>
            <w:tcW w:type="dxa" w:w="20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2,0 %</w:t>
            </w:r>
          </w:p>
        </w:tc>
        <w:tc>
          <w:tcPr>
            <w:tcW w:type="dxa" w:w="20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 42</w:t>
            </w:r>
          </w:p>
        </w:tc>
        <w:tc>
          <w:tcPr>
            <w:tcW w:type="dxa" w:w="20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 2,4 jours</w:t>
            </w:r>
          </w:p>
        </w:tc>
      </w:tr>
      <w:tr>
        <w:tc>
          <w:tcPr>
            <w:tcW w:type="dxa" w:w="26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Friendship</w:t>
            </w:r>
          </w:p>
        </w:tc>
        <w:tc>
          <w:tcPr>
            <w:tcW w:type="dxa" w:w="20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1,6 %</w:t>
            </w:r>
          </w:p>
        </w:tc>
        <w:tc>
          <w:tcPr>
            <w:tcW w:type="dxa" w:w="20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 34</w:t>
            </w:r>
          </w:p>
        </w:tc>
        <w:tc>
          <w:tcPr>
            <w:tcW w:type="dxa" w:w="20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 3 jours</w:t>
            </w:r>
          </w:p>
        </w:tc>
      </w:tr>
      <w:tr>
        <w:tc>
          <w:tcPr>
            <w:tcW w:type="dxa" w:w="26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Animality</w:t>
            </w:r>
          </w:p>
        </w:tc>
        <w:tc>
          <w:tcPr>
            <w:tcW w:type="dxa" w:w="20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0,6 %</w:t>
            </w:r>
          </w:p>
        </w:tc>
        <w:tc>
          <w:tcPr>
            <w:tcW w:type="dxa" w:w="20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 13</w:t>
            </w:r>
          </w:p>
        </w:tc>
        <w:tc>
          <w:tcPr>
            <w:tcW w:type="dxa" w:w="20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 8 jours</w:t>
            </w:r>
          </w:p>
        </w:tc>
      </w:tr>
      <w:tr>
        <w:tc>
          <w:tcPr>
            <w:tcW w:type="dxa" w:w="26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Hara-Kiri</w:t>
            </w:r>
          </w:p>
        </w:tc>
        <w:tc>
          <w:tcPr>
            <w:tcW w:type="dxa" w:w="20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0,1 %</w:t>
            </w:r>
          </w:p>
        </w:tc>
        <w:tc>
          <w:tcPr>
            <w:tcW w:type="dxa" w:w="20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 2</w:t>
            </w:r>
          </w:p>
        </w:tc>
        <w:tc>
          <w:tcPr>
            <w:tcW w:type="dxa" w:w="20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 48 jours</w:t>
            </w:r>
          </w:p>
        </w:tc>
      </w:tr>
    </w:tbl>
    <w:p>
      <w:pPr>
        <w:shd w:fill="FCEEEE" w:val="clear"/>
        <w:spacing w:after="200" w:before="100"/>
        <w:ind w:left="200"/>
      </w:pPr>
      <w:r>
        <w:rPr>
          <w:rFonts w:ascii="Calibri" w:cs="Calibri" w:eastAsia="Calibri" w:hAnsi="Calibri"/>
          <w:i/>
          <w:iCs/>
          <w:color w:val="8B1A1A"/>
          <w:sz w:val="20"/>
          <w:szCs w:val="20"/>
        </w:rPr>
        <w:t xml:space="preserve">⚠ Levé le 25 septembre 2026 : l'historique rattrapé contient déjà 284 Hara-Kiri, 1 177 Animality, 2 703 Friendship et 4 590 Babality sur Mortal Kombat 3. Les classes rares ne limitent plus l'entraînement ; elles restent en revanche trop rares dans une fenêtre de test de quelques jours pour y juger un résultat par classe.</w:t>
      </w:r>
    </w:p>
    <w:p>
      <w:pPr>
        <w:pStyle w:val="Heading1"/>
        <w:spacing w:after="200" w:before="400"/>
      </w:pPr>
      <w:r>
        <w:rPr>
          <w:rFonts w:ascii="Calibri" w:cs="Calibri" w:eastAsia="Calibri" w:hAnsi="Calibri"/>
          <w:b/>
          <w:bCs/>
          <w:color w:val="8B1A1A"/>
        </w:rPr>
        <w:t xml:space="preserve">4. Ingénierie des variables (features)</w:t>
      </w:r>
    </w:p>
    <w:p>
      <w:pPr>
        <w:pStyle w:val="Heading2"/>
        <w:spacing w:after="150" w:before="300"/>
      </w:pPr>
      <w:r>
        <w:rPr>
          <w:rFonts w:ascii="Calibri" w:cs="Calibri" w:eastAsia="Calibri" w:hAnsi="Calibri"/>
          <w:b/>
          <w:bCs/>
          <w:color w:val="2F2A2E"/>
        </w:rPr>
        <w:t xml:space="preserve">4.1 Variables communes aux deux modèles</w:t>
      </w:r>
    </w:p>
    <w:p>
      <w:pPr>
        <w:pStyle w:val="ListParagraph"/>
        <w:numPr>
          <w:ilvl w:val="0"/>
          <w:numId w:val="2"/>
        </w:numPr>
        <w:spacing w:after="80"/>
      </w:pPr>
      <w:r>
        <w:rPr>
          <w:rFonts w:ascii="Calibri" w:cs="Calibri" w:eastAsia="Calibri" w:hAnsi="Calibri"/>
        </w:rPr>
        <w:t xml:space="preserve">round_no — le numéro de la manche en cours (une manche 1 ne se joue pas comme une manche décisive)</w:t>
      </w:r>
    </w:p>
    <w:p>
      <w:pPr>
        <w:pStyle w:val="ListParagraph"/>
        <w:numPr>
          <w:ilvl w:val="0"/>
          <w:numId w:val="2"/>
        </w:numPr>
        <w:spacing w:after="80"/>
      </w:pPr>
      <w:r>
        <w:rPr>
          <w:rFonts w:ascii="Calibri" w:cs="Calibri" w:eastAsia="Calibri" w:hAnsi="Calibri"/>
        </w:rPr>
        <w:t xml:space="preserve">score1_avant / score2_avant — nombre de manches déjà gagnées par chaque combattant avant celle-ci (situation de match point ou non)</w:t>
      </w:r>
    </w:p>
    <w:p>
      <w:pPr>
        <w:pStyle w:val="ListParagraph"/>
        <w:numPr>
          <w:ilvl w:val="0"/>
          <w:numId w:val="2"/>
        </w:numPr>
        <w:spacing w:after="80"/>
      </w:pPr>
      <w:r>
        <w:rPr>
          <w:rFonts w:ascii="Calibri" w:cs="Calibri" w:eastAsia="Calibri" w:hAnsi="Calibri"/>
        </w:rPr>
        <w:t xml:space="preserve">p1_name / p2_name — identité des deux combattants (encodage catégoriel : one-hot pour un premier modèle, cible-encodage ou embeddings si le volume le permet ensuite)</w:t>
      </w:r>
    </w:p>
    <w:p>
      <w:pPr>
        <w:pStyle w:val="ListParagraph"/>
        <w:numPr>
          <w:ilvl w:val="0"/>
          <w:numId w:val="2"/>
        </w:numPr>
        <w:spacing w:after="80"/>
      </w:pPr>
      <w:r>
        <w:rPr>
          <w:rFonts w:ascii="Calibri" w:cs="Calibri" w:eastAsia="Calibri" w:hAnsi="Calibri"/>
        </w:rPr>
        <w:t xml:space="preserve">Historique glissant par combattant (calculé UNIQUEMENT sur les matchs antérieurs à l'instant de la prédiction, jamais sur le match en cours — voir 4.6) : durée moyenne de ses manches, répartition de ses types de finish, nombre de matchs déjà observés</w:t>
      </w:r>
    </w:p>
    <w:p>
      <w:pPr>
        <w:pStyle w:val="ListParagraph"/>
        <w:numPr>
          <w:ilvl w:val="0"/>
          <w:numId w:val="2"/>
        </w:numPr>
        <w:spacing w:after="80"/>
      </w:pPr>
      <w:r>
        <w:rPr>
          <w:rFonts w:ascii="Calibri" w:cs="Calibri" w:eastAsia="Calibri" w:hAnsi="Calibri"/>
        </w:rPr>
        <w:t xml:space="preserve">Heure / jour de la semaine du match, à titre exploratoire (utile seulement si le fournisseur fait varier ses paramètres selon le moment — à vérifier empiriquement, pas supposé a priori)</w:t>
      </w:r>
    </w:p>
    <w:p>
      <w:pPr>
        <w:pStyle w:val="Heading2"/>
        <w:spacing w:after="150" w:before="300"/>
      </w:pPr>
      <w:r>
        <w:rPr>
          <w:rFonts w:ascii="Calibri" w:cs="Calibri" w:eastAsia="Calibri" w:hAnsi="Calibri"/>
          <w:b/>
          <w:bCs/>
          <w:color w:val="2F2A2E"/>
        </w:rPr>
        <w:t xml:space="preserve">4.2 Variables spécifiques au modèle Mortal Kombat X (durée)</w:t>
      </w:r>
    </w:p>
    <w:p>
      <w:pPr>
        <w:pStyle w:val="ListParagraph"/>
        <w:numPr>
          <w:ilvl w:val="0"/>
          <w:numId w:val="2"/>
        </w:numPr>
        <w:spacing w:after="80"/>
      </w:pPr>
      <w:r>
        <w:rPr>
          <w:rFonts w:ascii="Calibri" w:cs="Calibri" w:eastAsia="Calibri" w:hAnsi="Calibri"/>
        </w:rPr>
        <w:t xml:space="preserve">Ligne et cote du marché « Durée du Round » (groupe 1074) au moment de la manche — à la fois la base de la cible (3.1) et une variable prédictive à part entière (la cote du bookmaker contient déjà de l'information)</w:t>
      </w:r>
    </w:p>
    <w:p>
      <w:pPr>
        <w:pStyle w:val="ListParagraph"/>
        <w:numPr>
          <w:ilvl w:val="0"/>
          <w:numId w:val="2"/>
        </w:numPr>
        <w:spacing w:after="80"/>
      </w:pPr>
      <w:r>
        <w:rPr>
          <w:rFonts w:ascii="Calibri" w:cs="Calibri" w:eastAsia="Calibri" w:hAnsi="Calibri"/>
        </w:rPr>
        <w:t xml:space="preserve">Durée des manches précédentes du même match (effet de rythme/momentum intra-match)</w:t>
      </w:r>
    </w:p>
    <w:p>
      <w:pPr>
        <w:pStyle w:val="ListParagraph"/>
        <w:numPr>
          <w:ilvl w:val="0"/>
          <w:numId w:val="2"/>
        </w:numPr>
        <w:spacing w:after="80"/>
      </w:pPr>
      <w:r>
        <w:rPr>
          <w:rFonts w:ascii="Calibri" w:cs="Calibri" w:eastAsia="Calibri" w:hAnsi="Calibri"/>
        </w:rPr>
        <w:t xml:space="preserve">fw (Flawless Victory) et mercy_p1/mercy_p2 de la manche précédente, si disponibles avant la manche courante</w:t>
      </w:r>
    </w:p>
    <w:p>
      <w:pPr>
        <w:pStyle w:val="Heading2"/>
        <w:spacing w:after="150" w:before="300"/>
      </w:pPr>
      <w:r>
        <w:rPr>
          <w:rFonts w:ascii="Calibri" w:cs="Calibri" w:eastAsia="Calibri" w:hAnsi="Calibri"/>
          <w:b/>
          <w:bCs/>
          <w:color w:val="2F2A2E"/>
        </w:rPr>
        <w:t xml:space="preserve">4.3 Variables spécifiques au modèle Mortal Kombat 3 (type de finish)</w:t>
      </w:r>
    </w:p>
    <w:p>
      <w:pPr>
        <w:pStyle w:val="ListParagraph"/>
        <w:numPr>
          <w:ilvl w:val="0"/>
          <w:numId w:val="2"/>
        </w:numPr>
        <w:spacing w:after="80"/>
      </w:pPr>
      <w:r>
        <w:rPr>
          <w:rFonts w:ascii="Calibri" w:cs="Calibri" w:eastAsia="Calibri" w:hAnsi="Calibri"/>
        </w:rPr>
        <w:t xml:space="preserve">Cote du marché « Mode de Victoire » (groupe 1066) et « Fatality dans Round » (groupe 3533) au moment de la manche — repère de comparaison partiel (3 classes seulement) mais utile comme variable</w:t>
      </w:r>
    </w:p>
    <w:p>
      <w:pPr>
        <w:pStyle w:val="ListParagraph"/>
        <w:numPr>
          <w:ilvl w:val="0"/>
          <w:numId w:val="2"/>
        </w:numPr>
        <w:spacing w:after="80"/>
      </w:pPr>
      <w:r>
        <w:rPr>
          <w:rFonts w:ascii="Calibri" w:cs="Calibri" w:eastAsia="Calibri" w:hAnsi="Calibri"/>
        </w:rPr>
        <w:t xml:space="preserve">Type de finish des manches précédentes du même match (un combattant qui vient d'enchaîner deux Fatality a peut-être une dynamique différente)</w:t>
      </w:r>
    </w:p>
    <w:p>
      <w:pPr>
        <w:pStyle w:val="ListParagraph"/>
        <w:numPr>
          <w:ilvl w:val="0"/>
          <w:numId w:val="2"/>
        </w:numPr>
        <w:spacing w:after="80"/>
      </w:pPr>
      <w:r>
        <w:rPr>
          <w:rFonts w:ascii="Calibri" w:cs="Calibri" w:eastAsia="Calibri" w:hAnsi="Calibri"/>
        </w:rPr>
        <w:t xml:space="preserve">Répartition historique des types de finish par combattant ET par la paire de combattants (matchup) si le volume le permet (section 5)</w:t>
      </w:r>
    </w:p>
    <w:p>
      <w:pPr>
        <w:pStyle w:val="Heading2"/>
        <w:spacing w:after="150" w:before="300"/>
      </w:pPr>
      <w:r>
        <w:rPr>
          <w:rFonts w:ascii="Calibri" w:cs="Calibri" w:eastAsia="Calibri" w:hAnsi="Calibri"/>
          <w:b/>
          <w:bCs/>
          <w:color w:val="2F2A2E"/>
        </w:rPr>
        <w:t xml:space="preserve">4.4 Variables dynamiques du marché (ajoutées le 24 septembre 2026)</w:t>
      </w:r>
    </w:p>
    <w:p>
      <w:pPr>
        <w:spacing w:after="160"/>
      </w:pPr>
      <w:r>
        <w:rPr>
          <w:rFonts w:ascii="Calibri" w:cs="Calibri" w:eastAsia="Calibri" w:hAnsi="Calibri"/>
          <w:b w:val="false"/>
          <w:bCs w:val="false"/>
          <w:i w:val="false"/>
          <w:iCs w:val="false"/>
        </w:rPr>
        <w:t xml:space="preserve">Le collecteur enregistre chaque changement de cote (heure serveur, ligne, suspension, disparition du marché), relevé toutes les ≈ 5 s. On peut en tirer, pour chaque manche, calculé uniquement sur la période AVANT la prédiction :</w:t>
      </w:r>
    </w:p>
    <w:p>
      <w:pPr>
        <w:pStyle w:val="ListParagraph"/>
        <w:numPr>
          <w:ilvl w:val="0"/>
          <w:numId w:val="2"/>
        </w:numPr>
        <w:spacing w:after="80"/>
      </w:pPr>
      <w:r>
        <w:rPr>
          <w:rFonts w:ascii="Calibri" w:cs="Calibri" w:eastAsia="Calibri" w:hAnsi="Calibri"/>
        </w:rPr>
        <w:t xml:space="preserve">Probabilité implicite de chaque issue, marge retirée : (1/cote_i) / Σ(1/cote_j). Jamais 1/cote brut, qui contient la marge du bookmaker.</w:t>
      </w:r>
    </w:p>
    <w:p>
      <w:pPr>
        <w:pStyle w:val="ListParagraph"/>
        <w:numPr>
          <w:ilvl w:val="0"/>
          <w:numId w:val="2"/>
        </w:numPr>
        <w:spacing w:after="80"/>
      </w:pPr>
      <w:r>
        <w:rPr>
          <w:rFonts w:ascii="Calibri" w:cs="Calibri" w:eastAsia="Calibri" w:hAnsi="Calibri"/>
        </w:rPr>
        <w:t xml:space="preserve">Marge du bookmaker sur le marché concerné (Σ 1/cote − 1) et son évolution avant la manche. L'idée qu'une hausse de marge « annonce » quelque chose n'est pas démontrée : c'est une variable à tester, pas une règle.</w:t>
      </w:r>
    </w:p>
    <w:p>
      <w:pPr>
        <w:pStyle w:val="ListParagraph"/>
        <w:numPr>
          <w:ilvl w:val="0"/>
          <w:numId w:val="2"/>
        </w:numPr>
        <w:spacing w:after="80"/>
      </w:pPr>
      <w:r>
        <w:rPr>
          <w:rFonts w:ascii="Calibri" w:cs="Calibri" w:eastAsia="Calibri" w:hAnsi="Calibri"/>
        </w:rPr>
        <w:t xml:space="preserve">Changement de ligne (ex. durée de manche « plus/moins de 45 s » devenue « 47 s ») et son sens.</w:t>
      </w:r>
    </w:p>
    <w:p>
      <w:pPr>
        <w:pStyle w:val="ListParagraph"/>
        <w:numPr>
          <w:ilvl w:val="0"/>
          <w:numId w:val="2"/>
        </w:numPr>
        <w:spacing w:after="80"/>
      </w:pPr>
      <w:r>
        <w:rPr>
          <w:rFonts w:ascii="Calibri" w:cs="Calibri" w:eastAsia="Calibri" w:hAnsi="Calibri"/>
        </w:rPr>
        <w:t xml:space="preserve">Mouvement de la cote avant la manche : tendance (hausse/baisse), amplitude, nombre de changements, suspensions récentes (le « clignotement rouge/vert » observé sur le site).</w:t>
      </w:r>
    </w:p>
    <w:p>
      <w:pPr>
        <w:shd w:fill="FCEEEE" w:val="clear"/>
        <w:spacing w:after="200" w:before="100"/>
        <w:ind w:left="200"/>
      </w:pPr>
      <w:r>
        <w:rPr>
          <w:rFonts w:ascii="Calibri" w:cs="Calibri" w:eastAsia="Calibri" w:hAnsi="Calibri"/>
          <w:i/>
          <w:iCs/>
          <w:color w:val="8B1A1A"/>
          <w:sz w:val="20"/>
          <w:szCs w:val="20"/>
        </w:rPr>
        <w:t xml:space="preserve">⚠ AI Table Tennis : les cotes de transition « 1,85 / 1,85 » qui apparaissent en cours de jeu (≈ 13 % des changements, source principale du site) ne doivent jamais être traitées comme une vraie cote. Les filtrer, ou les signaler par une variable dédiée.</w:t>
      </w:r>
    </w:p>
    <w:p>
      <w:pPr>
        <w:pStyle w:val="Heading2"/>
        <w:spacing w:after="150" w:before="300"/>
      </w:pPr>
      <w:r>
        <w:rPr>
          <w:rFonts w:ascii="Calibri" w:cs="Calibri" w:eastAsia="Calibri" w:hAnsi="Calibri"/>
          <w:b/>
          <w:bCs/>
          <w:color w:val="2F2A2E"/>
        </w:rPr>
        <w:t xml:space="preserve">4.5 Séries récentes (statut : à valider, probablement sans effet)</w:t>
      </w:r>
    </w:p>
    <w:p>
      <w:pPr>
        <w:pStyle w:val="ListParagraph"/>
        <w:numPr>
          <w:ilvl w:val="0"/>
          <w:numId w:val="2"/>
        </w:numPr>
        <w:spacing w:after="80"/>
      </w:pPr>
      <w:r>
        <w:rPr>
          <w:rFonts w:ascii="Calibri" w:cs="Calibri" w:eastAsia="Calibri" w:hAnsi="Calibri"/>
        </w:rPr>
        <w:t xml:space="preserve">Proportion d'issues « Plus » (ou de victoires du favori, de Fatality…) sur les 3, 6 et 12 dernières heures, et écart entre ces issues et ce que les cotes prévoyaient.</w:t>
      </w:r>
    </w:p>
    <w:p>
      <w:pPr>
        <w:spacing w:after="160"/>
      </w:pPr>
      <w:r>
        <w:rPr>
          <w:rFonts w:ascii="Calibri" w:cs="Calibri" w:eastAsia="Calibri" w:hAnsi="Calibri"/>
          <w:b w:val="false"/>
          <w:bCs w:val="false"/>
          <w:i w:val="false"/>
          <w:iCs w:val="false"/>
        </w:rPr>
        <w:t xml:space="preserve">L'hypothèse sous-jacente, un « cycle de compensation » du générateur, est le même raisonnement que la martingale. Les données disponibles ne la soutiennent pas : sur 21 302 sets AI Table Tennis, le vainqueur d'un set gagne le suivant dans 50,7 % (Prague) et 49,7 % (Goa) des cas. Ces variables sont peu coûteuses à tester ; elles ne sont conservées que si la validation hors entraînement montre une amélioration réelle, en tenant compte du nombre d'essais (section 9).</w:t>
      </w:r>
    </w:p>
    <w:p>
      <w:pPr>
        <w:pStyle w:val="Heading2"/>
        <w:spacing w:after="150" w:before="300"/>
      </w:pPr>
      <w:r>
        <w:rPr>
          <w:rFonts w:ascii="Calibri" w:cs="Calibri" w:eastAsia="Calibri" w:hAnsi="Calibri"/>
          <w:b/>
          <w:bCs/>
          <w:color w:val="2F2A2E"/>
        </w:rPr>
        <w:t xml:space="preserve">4.6 Règle impérative anti-fuite (data leakage)</w:t>
      </w:r>
    </w:p>
    <w:p>
      <w:pPr>
        <w:shd w:fill="FCEEEE" w:val="clear"/>
        <w:spacing w:after="200" w:before="100"/>
        <w:ind w:left="200"/>
      </w:pPr>
      <w:r>
        <w:rPr>
          <w:rFonts w:ascii="Calibri" w:cs="Calibri" w:eastAsia="Calibri" w:hAnsi="Calibri"/>
          <w:i/>
          <w:iCs/>
          <w:color w:val="8B1A1A"/>
          <w:sz w:val="20"/>
          <w:szCs w:val="20"/>
        </w:rPr>
        <w:t xml:space="preserve">⚠ Toute variable agrégée par combattant (durée moyenne, répartition des finishes) doit être calculée en ne regardant QUE les matchs dont la date de début est antérieure à la manche à prédire. Calculer ces agrégats sur l'ensemble des données (passé ET futur) donnerait une performance artificiellement excellente en test, totalement inexploitable en production — c'est l'erreur la plus fréquente et la plus dangereuse dans ce genre de projet.</w:t>
      </w:r>
    </w:p>
    <w:p>
      <w:pPr>
        <w:pStyle w:val="Heading1"/>
        <w:spacing w:after="200" w:before="400"/>
      </w:pPr>
      <w:r>
        <w:rPr>
          <w:rFonts w:ascii="Calibri" w:cs="Calibri" w:eastAsia="Calibri" w:hAnsi="Calibri"/>
          <w:b/>
          <w:bCs/>
          <w:color w:val="8B1A1A"/>
        </w:rPr>
        <w:t xml:space="preserve">5. Volume de données nécessaire</w:t>
      </w:r>
    </w:p>
    <w:p>
      <w:pPr>
        <w:spacing w:after="160"/>
      </w:pPr>
      <w:r>
        <w:rPr>
          <w:rFonts w:ascii="Calibri" w:cs="Calibri" w:eastAsia="Calibri" w:hAnsi="Calibri"/>
          <w:b w:val="false"/>
          <w:bCs w:val="false"/>
          <w:i w:val="false"/>
          <w:iCs w:val="false"/>
        </w:rPr>
        <w:t xml:space="preserve">Il n'existe pas de durée de collecte qui rende un modèle « parfait ». Le tableau ci-dessous donne des ordres de grandeur réalistes selon la granularité visée, à partir des volumes mesurés en conditions réelles (≈ 2 084 manches/jour pour Mortal Kombat X, ≈ 2 101 pour Mortal Kombat 3, soit environ 320 matchs/jour par ligue en moyenne).</w:t>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3600"/>
        <w:gridCol w:w="2600"/>
        <w:gridCol w:w="2400"/>
      </w:tblGrid>
      <w:tr>
        <w:tc>
          <w:tcPr>
            <w:tcW w:type="dxa" w:w="3600"/>
            <w:shd w:fill="8B1A1A"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Objectif du modèle</w:t>
            </w:r>
          </w:p>
        </w:tc>
        <w:tc>
          <w:tcPr>
            <w:tcW w:type="dxa" w:w="2600"/>
            <w:shd w:fill="8B1A1A"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Volume nécessaire</w:t>
            </w:r>
          </w:p>
        </w:tc>
        <w:tc>
          <w:tcPr>
            <w:tcW w:type="dxa" w:w="2400"/>
            <w:shd w:fill="8B1A1A"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Durée approximative</w:t>
            </w:r>
          </w:p>
        </w:tc>
      </w:tr>
      <w:tr>
        <w:tc>
          <w:tcPr>
            <w:tcW w:type="dxa" w:w="36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Distribution générale (round_no, score, sans distinguer les combattants)</w:t>
            </w:r>
          </w:p>
        </w:tc>
        <w:tc>
          <w:tcPr>
            <w:tcW w:type="dxa" w:w="26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Quelques milliers de manches</w:t>
            </w:r>
          </w:p>
        </w:tc>
        <w:tc>
          <w:tcPr>
            <w:tcW w:type="dxa" w:w="24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3 à 7 jours</w:t>
            </w:r>
          </w:p>
        </w:tc>
      </w:tr>
      <w:tr>
        <w:tc>
          <w:tcPr>
            <w:tcW w:type="dxa" w:w="36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Effet par combattant individuel (33 pour MKX, 32 pour MK3)</w:t>
            </w:r>
          </w:p>
        </w:tc>
        <w:tc>
          <w:tcPr>
            <w:tcW w:type="dxa" w:w="26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 100 manches par combattant</w:t>
            </w:r>
          </w:p>
        </w:tc>
        <w:tc>
          <w:tcPr>
            <w:tcW w:type="dxa" w:w="24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2 à 3 semaines</w:t>
            </w:r>
          </w:p>
        </w:tc>
      </w:tr>
      <w:tr>
        <w:tc>
          <w:tcPr>
            <w:tcW w:type="dxa" w:w="36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Effet par matchup (paire de combattants) — ≈ 528 paires possibles pour MKX, ≈ 496 pour MK3</w:t>
            </w:r>
          </w:p>
        </w:tc>
        <w:tc>
          <w:tcPr>
            <w:tcW w:type="dxa" w:w="26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 30 matchs par paire</w:t>
            </w:r>
          </w:p>
        </w:tc>
        <w:tc>
          <w:tcPr>
            <w:tcW w:type="dxa" w:w="24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4 à 8 semaines, plus pour les paires rares</w:t>
            </w:r>
          </w:p>
        </w:tc>
      </w:tr>
      <w:tr>
        <w:tc>
          <w:tcPr>
            <w:tcW w:type="dxa" w:w="36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Classe Hara-Kiri (MK3) à un niveau fiable (≈100 exemples)</w:t>
            </w:r>
          </w:p>
        </w:tc>
        <w:tc>
          <w:tcPr>
            <w:tcW w:type="dxa" w:w="26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 100 manches Hara-Kiri</w:t>
            </w:r>
          </w:p>
        </w:tc>
        <w:tc>
          <w:tcPr>
            <w:tcW w:type="dxa" w:w="24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Déjà atteint grâce au rattrapage historique (284 au 25 septembre)</w:t>
            </w:r>
          </w:p>
        </w:tc>
      </w:tr>
      <w:tr>
        <w:tc>
          <w:tcPr>
            <w:tcW w:type="dxa" w:w="36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Saisonnalité (jour de semaine, dérive éventuelle du fournisseur)</w:t>
            </w:r>
          </w:p>
        </w:tc>
        <w:tc>
          <w:tcPr>
            <w:tcW w:type="dxa" w:w="26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Au moins 2 à 3 cycles complets</w:t>
            </w:r>
          </w:p>
        </w:tc>
        <w:tc>
          <w:tcPr>
            <w:tcW w:type="dxa" w:w="24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3 à 4 semaines minimum</w:t>
            </w:r>
          </w:p>
        </w:tc>
      </w:tr>
    </w:tbl>
    <w:p>
      <w:pPr>
        <w:spacing w:after="160"/>
      </w:pPr>
      <w:r>
        <w:rPr>
          <w:rFonts w:ascii="Calibri" w:cs="Calibri" w:eastAsia="Calibri" w:hAnsi="Calibri"/>
          <w:b w:val="false"/>
          <w:bCs w:val="false"/>
          <w:i w:val="false"/>
          <w:iCs w:val="false"/>
        </w:rPr>
        <w:t xml:space="preserve">Recommandation retenue pour ce plan : ne pas attendre un seuil fixe avant de commencer. La collecte tourne déjà 24 h/24 avec une rétention indéfinie — un premier modèle baseline est entraîné dès J+3 à J+7 (section 10), puis réentraîné régulièrement à mesure que le volume grandit.</w:t>
      </w:r>
    </w:p>
    <w:p>
      <w:pPr>
        <w:pStyle w:val="Heading1"/>
        <w:spacing w:after="200" w:before="400"/>
      </w:pPr>
      <w:r>
        <w:rPr>
          <w:rFonts w:ascii="Calibri" w:cs="Calibri" w:eastAsia="Calibri" w:hAnsi="Calibri"/>
          <w:b/>
          <w:bCs/>
          <w:color w:val="8B1A1A"/>
        </w:rPr>
        <w:t xml:space="preserve">6. Pipeline de données (ETL)</w:t>
      </w:r>
    </w:p>
    <w:p>
      <w:pPr>
        <w:pStyle w:val="Heading2"/>
        <w:spacing w:after="150" w:before="300"/>
      </w:pPr>
      <w:r>
        <w:rPr>
          <w:rFonts w:ascii="Calibri" w:cs="Calibri" w:eastAsia="Calibri" w:hAnsi="Calibri"/>
          <w:b/>
          <w:bCs/>
          <w:color w:val="2F2A2E"/>
        </w:rPr>
        <w:t xml:space="preserve">6.1 Extraction : jeu de données au niveau manche</w:t>
      </w:r>
    </w:p>
    <w:p>
      <w:pPr>
        <w:spacing w:after="160"/>
      </w:pPr>
      <w:r>
        <w:rPr>
          <w:rFonts w:ascii="Calibri" w:cs="Calibri" w:eastAsia="Calibri" w:hAnsi="Calibri"/>
          <w:b w:val="false"/>
          <w:bCs w:val="false"/>
          <w:i w:val="false"/>
          <w:iCs w:val="false"/>
        </w:rPr>
        <w:t xml:space="preserve">Requête de départ pour Mortal Kombat X (remplacer league_id par 2282406 pour Mortal Kombat 3) :</w:t>
      </w:r>
    </w:p>
    <w:p>
      <w:pPr>
        <w:shd w:fill="F2EFEF" w:val="clear"/>
        <w:spacing w:after="200" w:before="100"/>
        <w:ind w:left="200" w:right="200"/>
      </w:pPr>
      <w:r>
        <w:rPr>
          <w:rFonts w:ascii="Consolas" w:cs="Consolas" w:eastAsia="Consolas" w:hAnsi="Consolas"/>
          <w:sz w:val="18"/>
          <w:szCs w:val="18"/>
        </w:rPr>
        <w:t xml:space="preserve">SELECT</w:t>
      </w:r>
      <w:r>
        <w:rPr>
          <w:rFonts w:ascii="Consolas" w:cs="Consolas" w:eastAsia="Consolas" w:hAnsi="Consolas"/>
          <w:sz w:val="18"/>
          <w:szCs w:val="18"/>
        </w:rPr>
        <w:br/>
        <w:t xml:space="preserve">    rr.game_id, e.league_id, e.p1_name, e.p2_name, e.start_ts,</w:t>
      </w:r>
      <w:r>
        <w:rPr>
          <w:rFonts w:ascii="Consolas" w:cs="Consolas" w:eastAsia="Consolas" w:hAnsi="Consolas"/>
          <w:sz w:val="18"/>
          <w:szCs w:val="18"/>
        </w:rPr>
        <w:br/>
        <w:t xml:space="preserve">    rr.round_no, rr.winner, rr.seconds, rr.finish_di, rr.fw,</w:t>
      </w:r>
      <w:r>
        <w:rPr>
          <w:rFonts w:ascii="Consolas" w:cs="Consolas" w:eastAsia="Consolas" w:hAnsi="Consolas"/>
          <w:sz w:val="18"/>
          <w:szCs w:val="18"/>
        </w:rPr>
        <w:br/>
        <w:t xml:space="preserve">    (SELECT count(*) FROM round_results r2</w:t>
      </w:r>
      <w:r>
        <w:rPr>
          <w:rFonts w:ascii="Consolas" w:cs="Consolas" w:eastAsia="Consolas" w:hAnsi="Consolas"/>
          <w:sz w:val="18"/>
          <w:szCs w:val="18"/>
        </w:rPr>
        <w:br/>
        <w:t xml:space="preserve">       WHERE r2.game_id = rr.game_id AND r2.round_no &lt; rr.round_no</w:t>
      </w:r>
      <w:r>
        <w:rPr>
          <w:rFonts w:ascii="Consolas" w:cs="Consolas" w:eastAsia="Consolas" w:hAnsi="Consolas"/>
          <w:sz w:val="18"/>
          <w:szCs w:val="18"/>
        </w:rPr>
        <w:br/>
        <w:t xml:space="preserve">         AND r2.winner = 1) AS score1_avant,</w:t>
      </w:r>
      <w:r>
        <w:rPr>
          <w:rFonts w:ascii="Consolas" w:cs="Consolas" w:eastAsia="Consolas" w:hAnsi="Consolas"/>
          <w:sz w:val="18"/>
          <w:szCs w:val="18"/>
        </w:rPr>
        <w:br/>
        <w:t xml:space="preserve">    (SELECT count(*) FROM round_results r2</w:t>
      </w:r>
      <w:r>
        <w:rPr>
          <w:rFonts w:ascii="Consolas" w:cs="Consolas" w:eastAsia="Consolas" w:hAnsi="Consolas"/>
          <w:sz w:val="18"/>
          <w:szCs w:val="18"/>
        </w:rPr>
        <w:br/>
        <w:t xml:space="preserve">       WHERE r2.game_id = rr.game_id AND r2.round_no &lt; rr.round_no</w:t>
      </w:r>
      <w:r>
        <w:rPr>
          <w:rFonts w:ascii="Consolas" w:cs="Consolas" w:eastAsia="Consolas" w:hAnsi="Consolas"/>
          <w:sz w:val="18"/>
          <w:szCs w:val="18"/>
        </w:rPr>
        <w:br/>
        <w:t xml:space="preserve">         AND r2.winner = 2) AS score2_avant</w:t>
      </w:r>
      <w:r>
        <w:rPr>
          <w:rFonts w:ascii="Consolas" w:cs="Consolas" w:eastAsia="Consolas" w:hAnsi="Consolas"/>
          <w:sz w:val="18"/>
          <w:szCs w:val="18"/>
        </w:rPr>
        <w:br/>
        <w:t xml:space="preserve">FROM round_results rr</w:t>
      </w:r>
      <w:r>
        <w:rPr>
          <w:rFonts w:ascii="Consolas" w:cs="Consolas" w:eastAsia="Consolas" w:hAnsi="Consolas"/>
          <w:sz w:val="18"/>
          <w:szCs w:val="18"/>
        </w:rPr>
        <w:br/>
        <w:t xml:space="preserve">JOIN events e ON e.game_id = rr.game_id</w:t>
      </w:r>
      <w:r>
        <w:rPr>
          <w:rFonts w:ascii="Consolas" w:cs="Consolas" w:eastAsia="Consolas" w:hAnsi="Consolas"/>
          <w:sz w:val="18"/>
          <w:szCs w:val="18"/>
        </w:rPr>
        <w:br/>
        <w:t xml:space="preserve">WHERE e.league_id = 1252965</w:t>
      </w:r>
      <w:r>
        <w:rPr>
          <w:rFonts w:ascii="Consolas" w:cs="Consolas" w:eastAsia="Consolas" w:hAnsi="Consolas"/>
          <w:sz w:val="18"/>
          <w:szCs w:val="18"/>
        </w:rPr>
        <w:br/>
        <w:t xml:space="preserve">ORDER BY e.start_ts, rr.round_no;</w:t>
      </w:r>
    </w:p>
    <w:p>
      <w:pPr>
        <w:pStyle w:val="Heading2"/>
        <w:spacing w:after="150" w:before="300"/>
      </w:pPr>
      <w:r>
        <w:rPr>
          <w:rFonts w:ascii="Calibri" w:cs="Calibri" w:eastAsia="Calibri" w:hAnsi="Calibri"/>
          <w:b/>
          <w:bCs/>
          <w:color w:val="2F2A2E"/>
        </w:rPr>
        <w:t xml:space="preserve">6.2 Enrichissement : ligne et cote du marché au moment de la manche</w:t>
      </w:r>
    </w:p>
    <w:p>
      <w:pPr>
        <w:shd w:fill="F2EFEF" w:val="clear"/>
        <w:spacing w:after="200" w:before="100"/>
        <w:ind w:left="200" w:right="200"/>
      </w:pPr>
      <w:r>
        <w:rPr>
          <w:rFonts w:ascii="Consolas" w:cs="Consolas" w:eastAsia="Consolas" w:hAnsi="Consolas"/>
          <w:sz w:val="18"/>
          <w:szCs w:val="18"/>
        </w:rPr>
        <w:t xml:space="preserve">-- Dernière cote connue du marché "Durée du Round" (g=1074) pour</w:t>
      </w:r>
      <w:r>
        <w:rPr>
          <w:rFonts w:ascii="Consolas" w:cs="Consolas" w:eastAsia="Consolas" w:hAnsi="Consolas"/>
          <w:sz w:val="18"/>
          <w:szCs w:val="18"/>
        </w:rPr>
        <w:br/>
        <w:t xml:space="preserve">-- un round donné, juste avant le début de la manche.</w:t>
      </w:r>
      <w:r>
        <w:rPr>
          <w:rFonts w:ascii="Consolas" w:cs="Consolas" w:eastAsia="Consolas" w:hAnsi="Consolas"/>
          <w:sz w:val="18"/>
          <w:szCs w:val="18"/>
        </w:rPr>
        <w:br/>
        <w:t xml:space="preserve">SELECT DISTINCT ON (game_id, round_no)</w:t>
      </w:r>
      <w:r>
        <w:rPr>
          <w:rFonts w:ascii="Consolas" w:cs="Consolas" w:eastAsia="Consolas" w:hAnsi="Consolas"/>
          <w:sz w:val="18"/>
          <w:szCs w:val="18"/>
        </w:rPr>
        <w:br/>
        <w:t xml:space="preserve">    game_id, round_no, line, odds, ts_server</w:t>
      </w:r>
      <w:r>
        <w:rPr>
          <w:rFonts w:ascii="Consolas" w:cs="Consolas" w:eastAsia="Consolas" w:hAnsi="Consolas"/>
          <w:sz w:val="18"/>
          <w:szCs w:val="18"/>
        </w:rPr>
        <w:br/>
        <w:t xml:space="preserve">FROM odds_snapshots</w:t>
      </w:r>
      <w:r>
        <w:rPr>
          <w:rFonts w:ascii="Consolas" w:cs="Consolas" w:eastAsia="Consolas" w:hAnsi="Consolas"/>
          <w:sz w:val="18"/>
          <w:szCs w:val="18"/>
        </w:rPr>
        <w:br/>
        <w:t xml:space="preserve">WHERE g = 1074 AND round_no = :round_no AND game_id = :game_id</w:t>
      </w:r>
      <w:r>
        <w:rPr>
          <w:rFonts w:ascii="Consolas" w:cs="Consolas" w:eastAsia="Consolas" w:hAnsi="Consolas"/>
          <w:sz w:val="18"/>
          <w:szCs w:val="18"/>
        </w:rPr>
        <w:br/>
        <w:t xml:space="preserve">ORDER BY game_id, round_no, ts_server DESC;</w:t>
      </w:r>
    </w:p>
    <w:p>
      <w:pPr>
        <w:pStyle w:val="Heading2"/>
        <w:spacing w:after="150" w:before="300"/>
      </w:pPr>
      <w:r>
        <w:rPr>
          <w:rFonts w:ascii="Calibri" w:cs="Calibri" w:eastAsia="Calibri" w:hAnsi="Calibri"/>
          <w:b/>
          <w:bCs/>
          <w:color w:val="2F2A2E"/>
        </w:rPr>
        <w:t xml:space="preserve">6.3 Agrégats glissants par combattant (calcul causal, voir 4.6)</w:t>
      </w:r>
    </w:p>
    <w:p>
      <w:pPr>
        <w:shd w:fill="F2EFEF" w:val="clear"/>
        <w:spacing w:after="200" w:before="100"/>
        <w:ind w:left="200" w:right="200"/>
      </w:pPr>
      <w:r>
        <w:rPr>
          <w:rFonts w:ascii="Consolas" w:cs="Consolas" w:eastAsia="Consolas" w:hAnsi="Consolas"/>
          <w:sz w:val="18"/>
          <w:szCs w:val="18"/>
        </w:rPr>
        <w:t xml:space="preserve">-- Pour un combattant et une date de référence donnés :</w:t>
      </w:r>
      <w:r>
        <w:rPr>
          <w:rFonts w:ascii="Consolas" w:cs="Consolas" w:eastAsia="Consolas" w:hAnsi="Consolas"/>
          <w:sz w:val="18"/>
          <w:szCs w:val="18"/>
        </w:rPr>
        <w:br/>
        <w:t xml:space="preserve">-- durée moyenne de ses manches sur les matchs commencés AVANT cette date.</w:t>
      </w:r>
      <w:r>
        <w:rPr>
          <w:rFonts w:ascii="Consolas" w:cs="Consolas" w:eastAsia="Consolas" w:hAnsi="Consolas"/>
          <w:sz w:val="18"/>
          <w:szCs w:val="18"/>
        </w:rPr>
        <w:br/>
        <w:t xml:space="preserve">SELECT avg(rr.seconds) AS duree_moyenne, count(*) AS n</w:t>
      </w:r>
      <w:r>
        <w:rPr>
          <w:rFonts w:ascii="Consolas" w:cs="Consolas" w:eastAsia="Consolas" w:hAnsi="Consolas"/>
          <w:sz w:val="18"/>
          <w:szCs w:val="18"/>
        </w:rPr>
        <w:br/>
        <w:t xml:space="preserve">FROM round_results rr</w:t>
      </w:r>
      <w:r>
        <w:rPr>
          <w:rFonts w:ascii="Consolas" w:cs="Consolas" w:eastAsia="Consolas" w:hAnsi="Consolas"/>
          <w:sz w:val="18"/>
          <w:szCs w:val="18"/>
        </w:rPr>
        <w:br/>
        <w:t xml:space="preserve">JOIN events e ON e.game_id = rr.game_id</w:t>
      </w:r>
      <w:r>
        <w:rPr>
          <w:rFonts w:ascii="Consolas" w:cs="Consolas" w:eastAsia="Consolas" w:hAnsi="Consolas"/>
          <w:sz w:val="18"/>
          <w:szCs w:val="18"/>
        </w:rPr>
        <w:br/>
        <w:t xml:space="preserve">WHERE e.start_ts &lt; :date_reference</w:t>
      </w:r>
      <w:r>
        <w:rPr>
          <w:rFonts w:ascii="Consolas" w:cs="Consolas" w:eastAsia="Consolas" w:hAnsi="Consolas"/>
          <w:sz w:val="18"/>
          <w:szCs w:val="18"/>
        </w:rPr>
        <w:br/>
        <w:t xml:space="preserve">  AND (e.p1_name = :combattant OR e.p2_name = :combattant);</w:t>
      </w:r>
    </w:p>
    <w:p>
      <w:pPr>
        <w:pStyle w:val="Heading2"/>
        <w:spacing w:after="150" w:before="300"/>
      </w:pPr>
      <w:r>
        <w:rPr>
          <w:rFonts w:ascii="Calibri" w:cs="Calibri" w:eastAsia="Calibri" w:hAnsi="Calibri"/>
          <w:b/>
          <w:bCs/>
          <w:color w:val="2F2A2E"/>
        </w:rPr>
        <w:t xml:space="preserve">6.4 Découpage entraînement / validation / test</w:t>
      </w:r>
    </w:p>
    <w:p>
      <w:pPr>
        <w:pStyle w:val="ListParagraph"/>
        <w:numPr>
          <w:ilvl w:val="0"/>
          <w:numId w:val="2"/>
        </w:numPr>
        <w:spacing w:after="80"/>
      </w:pPr>
      <w:r>
        <w:rPr>
          <w:rFonts w:ascii="Calibri" w:cs="Calibri" w:eastAsia="Calibri" w:hAnsi="Calibri"/>
        </w:rPr>
        <w:t xml:space="preserve">Découpage TEMPOREL, jamais aléatoire : entraînement sur les matchs les plus anciens, validation puis test sur les plus récents — sinon on "triche" en entraînant sur le futur.</w:t>
      </w:r>
    </w:p>
    <w:p>
      <w:pPr>
        <w:pStyle w:val="ListParagraph"/>
        <w:numPr>
          <w:ilvl w:val="0"/>
          <w:numId w:val="2"/>
        </w:numPr>
        <w:spacing w:after="80"/>
      </w:pPr>
      <w:r>
        <w:rPr>
          <w:rFonts w:ascii="Calibri" w:cs="Calibri" w:eastAsia="Calibri" w:hAnsi="Calibri"/>
        </w:rPr>
        <w:t xml:space="preserve">Découpage par MATCH (game_id), jamais par manche isolée : les manches d'un même match sont corrélées (momentum) ; répartir les manches d'un même match entre entraînement et test créerait une fuite indirecte.</w:t>
      </w:r>
    </w:p>
    <w:p>
      <w:pPr>
        <w:pStyle w:val="ListParagraph"/>
        <w:numPr>
          <w:ilvl w:val="0"/>
          <w:numId w:val="2"/>
        </w:numPr>
        <w:spacing w:after="80"/>
      </w:pPr>
      <w:r>
        <w:rPr>
          <w:rFonts w:ascii="Calibri" w:cs="Calibri" w:eastAsia="Calibri" w:hAnsi="Calibri"/>
        </w:rPr>
        <w:t xml:space="preserve">Une fois un premier modèle en place, validation en "walk-forward" (section 9) plutôt qu'un split figé une fois pour toutes.</w:t>
      </w:r>
    </w:p>
    <w:p>
      <w:pPr>
        <w:pStyle w:val="Heading1"/>
        <w:spacing w:after="200" w:before="400"/>
      </w:pPr>
      <w:r>
        <w:rPr>
          <w:rFonts w:ascii="Calibri" w:cs="Calibri" w:eastAsia="Calibri" w:hAnsi="Calibri"/>
          <w:b/>
          <w:bCs/>
          <w:color w:val="8B1A1A"/>
        </w:rPr>
        <w:t xml:space="preserve">7. Choix de modèles</w:t>
      </w:r>
    </w:p>
    <w:p>
      <w:pPr>
        <w:pStyle w:val="Heading2"/>
        <w:spacing w:after="150" w:before="300"/>
      </w:pPr>
      <w:r>
        <w:rPr>
          <w:rFonts w:ascii="Calibri" w:cs="Calibri" w:eastAsia="Calibri" w:hAnsi="Calibri"/>
          <w:b/>
          <w:bCs/>
          <w:color w:val="2F2A2E"/>
        </w:rPr>
        <w:t xml:space="preserve">7.1 Mortal Kombat X — probabilité de durée</w:t>
      </w:r>
    </w:p>
    <w:p>
      <w:pPr>
        <w:pStyle w:val="ListParagraph"/>
        <w:numPr>
          <w:ilvl w:val="0"/>
          <w:numId w:val="2"/>
        </w:numPr>
        <w:spacing w:after="80"/>
      </w:pPr>
      <w:r>
        <w:rPr>
          <w:rFonts w:ascii="Calibri" w:cs="Calibri" w:eastAsia="Calibri" w:hAnsi="Calibri"/>
        </w:rPr>
        <w:t xml:space="preserve">Référence de départ (baseline) : régression logistique sur les variables de la section 4.1/4.2 — simple, rapide, sert de point de comparaison minimal.</w:t>
      </w:r>
    </w:p>
    <w:p>
      <w:pPr>
        <w:pStyle w:val="ListParagraph"/>
        <w:numPr>
          <w:ilvl w:val="0"/>
          <w:numId w:val="2"/>
        </w:numPr>
        <w:spacing w:after="80"/>
      </w:pPr>
      <w:r>
        <w:rPr>
          <w:rFonts w:ascii="Calibri" w:cs="Calibri" w:eastAsia="Calibri" w:hAnsi="Calibri"/>
        </w:rPr>
        <w:t xml:space="preserve">Modèle principal : gradient boosting (XGBoost ou LightGBM), qui capture mieux les interactions (ex. round_no × combattant) sans ingénierie manuelle exhaustive.</w:t>
      </w:r>
    </w:p>
    <w:p>
      <w:pPr>
        <w:pStyle w:val="ListParagraph"/>
        <w:numPr>
          <w:ilvl w:val="0"/>
          <w:numId w:val="2"/>
        </w:numPr>
        <w:spacing w:after="80"/>
      </w:pPr>
      <w:r>
        <w:rPr>
          <w:rFonts w:ascii="Calibri" w:cs="Calibri" w:eastAsia="Calibri" w:hAnsi="Calibri"/>
        </w:rPr>
        <w:t xml:space="preserve">Calibration obligatoire (Platt scaling ou isotonic regression) : l'objectif est une PROBABILITÉ directement comparable à celle du marché, pas seulement une classe correcte la plupart du temps.</w:t>
      </w:r>
    </w:p>
    <w:p>
      <w:pPr>
        <w:pStyle w:val="Heading2"/>
        <w:spacing w:after="150" w:before="300"/>
      </w:pPr>
      <w:r>
        <w:rPr>
          <w:rFonts w:ascii="Calibri" w:cs="Calibri" w:eastAsia="Calibri" w:hAnsi="Calibri"/>
          <w:b/>
          <w:bCs/>
          <w:color w:val="2F2A2E"/>
        </w:rPr>
        <w:t xml:space="preserve">7.2 Mortal Kombat 3 — type de finish</w:t>
      </w:r>
    </w:p>
    <w:p>
      <w:pPr>
        <w:pStyle w:val="ListParagraph"/>
        <w:numPr>
          <w:ilvl w:val="0"/>
          <w:numId w:val="2"/>
        </w:numPr>
        <w:spacing w:after="80"/>
      </w:pPr>
      <w:r>
        <w:rPr>
          <w:rFonts w:ascii="Calibri" w:cs="Calibri" w:eastAsia="Calibri" w:hAnsi="Calibri"/>
        </w:rPr>
        <w:t xml:space="preserve">Approche hiérarchique recommandée compte tenu du déséquilibre des classes (section 3.2) : (a) un premier modèle binaire Fatality vs. Non-Fatality (les deux classes majoritaires, où le marché 3533 donne déjà un repère direct), puis (b) un second modèle, conditionnel, pour résoudre le type exact au sein de chaque branche.</w:t>
      </w:r>
    </w:p>
    <w:p>
      <w:pPr>
        <w:pStyle w:val="ListParagraph"/>
        <w:numPr>
          <w:ilvl w:val="0"/>
          <w:numId w:val="2"/>
        </w:numPr>
        <w:spacing w:after="80"/>
      </w:pPr>
      <w:r>
        <w:rPr>
          <w:rFonts w:ascii="Calibri" w:cs="Calibri" w:eastAsia="Calibri" w:hAnsi="Calibri"/>
        </w:rPr>
        <w:t xml:space="preserve">Révisé le 25 septembre 2026 : AUCUNE pondération des classes rares. Pondérer (class_weight, rééchantillonnage) déforme les probabilités, ce qui contredit le critère de calibration (section 7.3). Modèle entraîné sur la log-loss, régularisé, puis recalibré (temperature scaling). Un rappel proche de 0 sur Hara-Kiri ou Animality est alors normal : un modèle calibré ne prédit presque jamais une issue à 0,15 % comme la plus probable.</w:t>
      </w:r>
    </w:p>
    <w:p>
      <w:pPr>
        <w:pStyle w:val="ListParagraph"/>
        <w:numPr>
          <w:ilvl w:val="0"/>
          <w:numId w:val="2"/>
        </w:numPr>
        <w:spacing w:after="80"/>
      </w:pPr>
      <w:r>
        <w:rPr>
          <w:rFonts w:ascii="Calibri" w:cs="Calibri" w:eastAsia="Calibri" w:hAnsi="Calibri"/>
        </w:rPr>
        <w:t xml:space="preserve">Alternative si le volume de classes rares reste insuffisant après plusieurs semaines (section 5) : regrouper Babality/Friendship/Animality/Hara-Kiri en une classe « finish spécial rare » pour un modèle en production plus robuste, tout en gardant un modèle de recherche séparé, plus fin, à mesure que les données rares s'accumulent.</w:t>
      </w:r>
    </w:p>
    <w:p>
      <w:pPr>
        <w:pStyle w:val="Heading2"/>
        <w:spacing w:after="150" w:before="300"/>
      </w:pPr>
      <w:r>
        <w:rPr>
          <w:rFonts w:ascii="Calibri" w:cs="Calibri" w:eastAsia="Calibri" w:hAnsi="Calibri"/>
          <w:b/>
          <w:bCs/>
          <w:color w:val="2F2A2E"/>
        </w:rPr>
        <w:t xml:space="preserve">7.3 Critère de sélection : la calibration, pas la précision</w:t>
      </w:r>
    </w:p>
    <w:p>
      <w:pPr>
        <w:spacing w:after="160"/>
      </w:pPr>
      <w:r>
        <w:rPr>
          <w:rFonts w:ascii="Calibri" w:cs="Calibri" w:eastAsia="Calibri" w:hAnsi="Calibri"/>
          <w:b w:val="false"/>
          <w:bCs w:val="false"/>
          <w:i w:val="false"/>
          <w:iCs w:val="false"/>
        </w:rPr>
        <w:t xml:space="preserve">Référence : Walsh &amp; Joshi (Université de Bath), « Machine learning for sports betting: should model selection be based on accuracy or calibration? », Machine Learning with Applications, 2024 (arXiv:2303.06021 v4). Sur des paris NBA simulés sur une saison, avec découpage strictement temporel, le modèle choisi pour sa calibration rapporte +34,69 % en moyenne, contre −35,17 % pour celui choisi pour sa précision — alors que ce dernier était légèrement plus précis (64,62 % contre 64,27 %). En mise Kelly 1/8, le modèle choisi pour sa précision perd 75,9 %.</w:t>
      </w:r>
    </w:p>
    <w:p>
      <w:pPr>
        <w:shd w:fill="FCEEEE" w:val="clear"/>
        <w:spacing w:after="200" w:before="100"/>
        <w:ind w:left="200"/>
      </w:pPr>
      <w:r>
        <w:rPr>
          <w:rFonts w:ascii="Calibri" w:cs="Calibri" w:eastAsia="Calibri" w:hAnsi="Calibri"/>
          <w:i/>
          <w:iCs/>
          <w:color w:val="8B1A1A"/>
          <w:sz w:val="20"/>
          <w:szCs w:val="20"/>
        </w:rPr>
        <w:t xml:space="preserve">⚠ Les chiffres « 110 % contre 2,9 % » qui circulent viennent de la première version (2023) de cet article, révisée depuis. Limites reconnues par les auteurs : une seule saison de paris, seuil de 80 % d'intervalles remplis choisi arbitrairement, sport humain où le marché peut se tromper. Sur nos jeux virtuels, le marché est déjà bien calibré (section 8.3) : la calibration est NÉCESSAIRE mais pas SUFFISANTE, le modèle doit aussi mieux discriminer que la cote.</w:t>
      </w:r>
    </w:p>
    <w:p>
      <w:pPr>
        <w:pStyle w:val="ListParagraph"/>
        <w:numPr>
          <w:ilvl w:val="0"/>
          <w:numId w:val="2"/>
        </w:numPr>
        <w:spacing w:after="80"/>
      </w:pPr>
      <w:r>
        <w:rPr>
          <w:rFonts w:ascii="Calibri" w:cs="Calibri" w:eastAsia="Calibri" w:hAnsi="Calibri"/>
        </w:rPr>
        <w:t xml:space="preserve">Métriques de sélection : log-loss et classwise-ECE (erreur de calibration par classe, 20 intervalles). Jamais la précision (accuracy) seule.</w:t>
      </w:r>
    </w:p>
    <w:p>
      <w:pPr>
        <w:pStyle w:val="ListParagraph"/>
        <w:numPr>
          <w:ilvl w:val="0"/>
          <w:numId w:val="2"/>
        </w:numPr>
        <w:spacing w:after="80"/>
      </w:pPr>
      <w:r>
        <w:rPr>
          <w:rFonts w:ascii="Calibri" w:cs="Calibri" w:eastAsia="Calibri" w:hAnsi="Calibri"/>
        </w:rPr>
        <w:t xml:space="preserve">Révisé le 25 septembre 2026 : la règle « au moins 80 % d'intervalles non vides » est intenable avec 20 intervalles de même largeur sur nos marchés — même le bookmaker y échoue (probabilités de vainqueur entre ≈ 0,25 et 0,75). L'ECE est donc calculée aussi avec 20 intervalles de même effectif, utilisée comme garde-fou ; la part d'intervalles non vides reste publiée.</w:t>
      </w:r>
    </w:p>
    <w:p>
      <w:pPr>
        <w:pStyle w:val="ListParagraph"/>
        <w:numPr>
          <w:ilvl w:val="0"/>
          <w:numId w:val="2"/>
        </w:numPr>
        <w:spacing w:after="80"/>
      </w:pPr>
      <w:r>
        <w:rPr>
          <w:rFonts w:ascii="Calibri" w:cs="Calibri" w:eastAsia="Calibri" w:hAnsi="Calibri"/>
        </w:rPr>
        <w:t xml:space="preserve">Verdict fondé sur la question « le modèle apporte-t-il une information que le marché n'a pas ? » : combinaison log-linéaire log p ∝ b·log p_marché + c·log p_modèle, comparée au marché seul recalibré sur la même période. Un poids c nul signifie que le modèle n'apporte rien.</w:t>
      </w:r>
    </w:p>
    <w:p>
      <w:pPr>
        <w:pStyle w:val="ListParagraph"/>
        <w:numPr>
          <w:ilvl w:val="0"/>
          <w:numId w:val="2"/>
        </w:numPr>
        <w:spacing w:after="80"/>
      </w:pPr>
      <w:r>
        <w:rPr>
          <w:rFonts w:ascii="Calibri" w:cs="Calibri" w:eastAsia="Calibri" w:hAnsi="Calibri"/>
        </w:rPr>
        <w:t xml:space="preserve">Le même critère sert au choix des variables (sélection séquentielle), au réglage des hyperparamètres (optimisation bayésienne) et à l'examen de passage quotidien champion/challenger (section 12).</w:t>
      </w:r>
    </w:p>
    <w:p>
      <w:pPr>
        <w:pStyle w:val="ListParagraph"/>
        <w:numPr>
          <w:ilvl w:val="0"/>
          <w:numId w:val="2"/>
        </w:numPr>
        <w:spacing w:after="80"/>
      </w:pPr>
      <w:r>
        <w:rPr>
          <w:rFonts w:ascii="Calibri" w:cs="Calibri" w:eastAsia="Calibri" w:hAnsi="Calibri"/>
        </w:rPr>
        <w:t xml:space="preserve">Modèles d'arbres (LightGBM/XGBoost) plutôt que réseaux récurrents (LSTM) : sur des données tabulaires de cette taille, ils sont en général plus robustes et bien moins coûteux.</w:t>
      </w:r>
    </w:p>
    <w:p>
      <w:pPr>
        <w:pStyle w:val="Heading1"/>
        <w:spacing w:after="200" w:before="400"/>
      </w:pPr>
      <w:r>
        <w:rPr>
          <w:rFonts w:ascii="Calibri" w:cs="Calibri" w:eastAsia="Calibri" w:hAnsi="Calibri"/>
          <w:b/>
          <w:bCs/>
          <w:color w:val="8B1A1A"/>
        </w:rPr>
        <w:t xml:space="preserve">8. Évaluation</w:t>
      </w:r>
    </w:p>
    <w:p>
      <w:pPr>
        <w:pStyle w:val="Heading2"/>
        <w:spacing w:after="150" w:before="300"/>
      </w:pPr>
      <w:r>
        <w:rPr>
          <w:rFonts w:ascii="Calibri" w:cs="Calibri" w:eastAsia="Calibri" w:hAnsi="Calibri"/>
          <w:b/>
          <w:bCs/>
          <w:color w:val="2F2A2E"/>
        </w:rPr>
        <w:t xml:space="preserve">8.1 Modèle Mortal Kombat X</w:t>
      </w:r>
    </w:p>
    <w:p>
      <w:pPr>
        <w:pStyle w:val="ListParagraph"/>
        <w:numPr>
          <w:ilvl w:val="0"/>
          <w:numId w:val="2"/>
        </w:numPr>
        <w:spacing w:after="80"/>
      </w:pPr>
      <w:r>
        <w:rPr>
          <w:rFonts w:ascii="Calibri" w:cs="Calibri" w:eastAsia="Calibri" w:hAnsi="Calibri"/>
        </w:rPr>
        <w:t xml:space="preserve">Brier score et log-loss (qualité de la probabilité, pas seulement de la classe)</w:t>
      </w:r>
    </w:p>
    <w:p>
      <w:pPr>
        <w:pStyle w:val="ListParagraph"/>
        <w:numPr>
          <w:ilvl w:val="0"/>
          <w:numId w:val="2"/>
        </w:numPr>
        <w:spacing w:after="80"/>
      </w:pPr>
      <w:r>
        <w:rPr>
          <w:rFonts w:ascii="Calibri" w:cs="Calibri" w:eastAsia="Calibri" w:hAnsi="Calibri"/>
        </w:rPr>
        <w:t xml:space="preserve">Courbe de calibration (les manches prédites à 70 % de chances de dépasser le seuil doivent effectivement le dépasser ≈70 % du temps)</w:t>
      </w:r>
    </w:p>
    <w:p>
      <w:pPr>
        <w:pStyle w:val="ListParagraph"/>
        <w:numPr>
          <w:ilvl w:val="0"/>
          <w:numId w:val="2"/>
        </w:numPr>
        <w:spacing w:after="80"/>
      </w:pPr>
      <w:r>
        <w:rPr>
          <w:rFonts w:ascii="Calibri" w:cs="Calibri" w:eastAsia="Calibri" w:hAnsi="Calibri"/>
        </w:rPr>
        <w:t xml:space="preserve">AUC, à titre secondaire</w:t>
      </w:r>
    </w:p>
    <w:p>
      <w:pPr>
        <w:pStyle w:val="ListParagraph"/>
        <w:numPr>
          <w:ilvl w:val="0"/>
          <w:numId w:val="2"/>
        </w:numPr>
        <w:spacing w:after="80"/>
      </w:pPr>
      <w:r>
        <w:rPr>
          <w:rFonts w:ascii="Calibri" w:cs="Calibri" w:eastAsia="Calibri" w:hAnsi="Calibri"/>
        </w:rPr>
        <w:t xml:space="preserve">Comparaison directe à la probabilité implicite de la cote du marché (1/cote, normalisée) : le modèle n'a de valeur que s'il fait mieux, ou au moins aussi bien, avec une meilleure calibration</w:t>
      </w:r>
    </w:p>
    <w:p>
      <w:pPr>
        <w:pStyle w:val="Heading2"/>
        <w:spacing w:after="150" w:before="300"/>
      </w:pPr>
      <w:r>
        <w:rPr>
          <w:rFonts w:ascii="Calibri" w:cs="Calibri" w:eastAsia="Calibri" w:hAnsi="Calibri"/>
          <w:b/>
          <w:bCs/>
          <w:color w:val="2F2A2E"/>
        </w:rPr>
        <w:t xml:space="preserve">8.2 Modèle Mortal Kombat 3</w:t>
      </w:r>
    </w:p>
    <w:p>
      <w:pPr>
        <w:pStyle w:val="ListParagraph"/>
        <w:numPr>
          <w:ilvl w:val="0"/>
          <w:numId w:val="2"/>
        </w:numPr>
        <w:spacing w:after="80"/>
      </w:pPr>
      <w:r>
        <w:rPr>
          <w:rFonts w:ascii="Calibri" w:cs="Calibri" w:eastAsia="Calibri" w:hAnsi="Calibri"/>
        </w:rPr>
        <w:t xml:space="preserve">Log-loss multiclasse (pénalise fortement une probabilité proche de 0 donnée à la classe qui se réalise réellement)</w:t>
      </w:r>
    </w:p>
    <w:p>
      <w:pPr>
        <w:pStyle w:val="ListParagraph"/>
        <w:numPr>
          <w:ilvl w:val="0"/>
          <w:numId w:val="2"/>
        </w:numPr>
        <w:spacing w:after="80"/>
      </w:pPr>
      <w:r>
        <w:rPr>
          <w:rFonts w:ascii="Calibri" w:cs="Calibri" w:eastAsia="Calibri" w:hAnsi="Calibri"/>
        </w:rPr>
        <w:t xml:space="preserve">Matrice de confusion et rappel PAR CLASSE — l'exactitude globale (accuracy) est trompeuse ici : un modèle qui prédit toujours Regular ou Fatality aura une exactitude élevée tout en étant inutile sur les classes rares</w:t>
      </w:r>
    </w:p>
    <w:p>
      <w:pPr>
        <w:pStyle w:val="ListParagraph"/>
        <w:numPr>
          <w:ilvl w:val="0"/>
          <w:numId w:val="2"/>
        </w:numPr>
        <w:spacing w:after="80"/>
      </w:pPr>
      <w:r>
        <w:rPr>
          <w:rFonts w:ascii="Calibri" w:cs="Calibri" w:eastAsia="Calibri" w:hAnsi="Calibri"/>
        </w:rPr>
        <w:t xml:space="preserve">Comparaison au marché « Mode de Victoire » (groupe 1066) sur le sous-ensemble de classes qu'il couvre (Fatality/Brutality/No Finish)</w:t>
      </w:r>
    </w:p>
    <w:p>
      <w:pPr>
        <w:pStyle w:val="Heading2"/>
        <w:spacing w:after="150" w:before="300"/>
      </w:pPr>
      <w:r>
        <w:rPr>
          <w:rFonts w:ascii="Calibri" w:cs="Calibri" w:eastAsia="Calibri" w:hAnsi="Calibri"/>
          <w:b/>
          <w:bCs/>
          <w:color w:val="2F2A2E"/>
        </w:rPr>
        <w:t xml:space="preserve">8.3 Repères mesurés sur le marché (24 septembre 2026)</w:t>
      </w:r>
    </w:p>
    <w:p>
      <w:pPr>
        <w:spacing w:after="160"/>
      </w:pPr>
      <w:r>
        <w:rPr>
          <w:rFonts w:ascii="Calibri" w:cs="Calibri" w:eastAsia="Calibri" w:hAnsi="Calibri"/>
          <w:b w:val="false"/>
          <w:bCs w:val="false"/>
          <w:i w:val="false"/>
          <w:iCs w:val="false"/>
        </w:rPr>
        <w:t xml:space="preserve">Mesuré sur ≈ 8 600 manches réelles (22 au 24 septembre), marché « Victoire dans le Round » (groupe 1050), cote de clôture de chaque manche :</w:t>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3600"/>
        <w:gridCol w:w="2500"/>
        <w:gridCol w:w="2500"/>
      </w:tblGrid>
      <w:tr>
        <w:tc>
          <w:tcPr>
            <w:tcW w:type="dxa" w:w="3600"/>
            <w:shd w:fill="8B1A1A"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Repère</w:t>
            </w:r>
          </w:p>
        </w:tc>
        <w:tc>
          <w:tcPr>
            <w:tcW w:type="dxa" w:w="2500"/>
            <w:shd w:fill="8B1A1A"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Mortal Kombat X</w:t>
            </w:r>
          </w:p>
        </w:tc>
        <w:tc>
          <w:tcPr>
            <w:tcW w:type="dxa" w:w="2500"/>
            <w:shd w:fill="8B1A1A"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Mortal Kombat 3</w:t>
            </w:r>
          </w:p>
        </w:tc>
      </w:tr>
      <w:tr>
        <w:tc>
          <w:tcPr>
            <w:tcW w:type="dxa" w:w="36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Marge moyenne du bookmaker</w:t>
            </w:r>
          </w:p>
        </w:tc>
        <w:tc>
          <w:tcPr>
            <w:tcW w:type="dxa" w:w="25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3,4 %</w:t>
            </w:r>
          </w:p>
        </w:tc>
        <w:tc>
          <w:tcPr>
            <w:tcW w:type="dxa" w:w="25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7,6 %</w:t>
            </w:r>
          </w:p>
        </w:tc>
      </w:tr>
      <w:tr>
        <w:tc>
          <w:tcPr>
            <w:tcW w:type="dxa" w:w="36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Le favori gagne réellement</w:t>
            </w:r>
          </w:p>
        </w:tc>
        <w:tc>
          <w:tcPr>
            <w:tcW w:type="dxa" w:w="25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60,0 % des manches</w:t>
            </w:r>
          </w:p>
        </w:tc>
        <w:tc>
          <w:tcPr>
            <w:tcW w:type="dxa" w:w="25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59,6 % des manches</w:t>
            </w:r>
          </w:p>
        </w:tc>
      </w:tr>
      <w:tr>
        <w:tc>
          <w:tcPr>
            <w:tcW w:type="dxa" w:w="36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Probabilité implicite du favori (marge retirée)</w:t>
            </w:r>
          </w:p>
        </w:tc>
        <w:tc>
          <w:tcPr>
            <w:tcW w:type="dxa" w:w="25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59,2 %</w:t>
            </w:r>
          </w:p>
        </w:tc>
        <w:tc>
          <w:tcPr>
            <w:tcW w:type="dxa" w:w="25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59,0 %</w:t>
            </w:r>
          </w:p>
        </w:tc>
      </w:tr>
      <w:tr>
        <w:tc>
          <w:tcPr>
            <w:tcW w:type="dxa" w:w="36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Cote médiane du favori / de l'outsider</w:t>
            </w:r>
          </w:p>
        </w:tc>
        <w:tc>
          <w:tcPr>
            <w:tcW w:type="dxa" w:w="25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1,69 / 2,28</w:t>
            </w:r>
          </w:p>
        </w:tc>
        <w:tc>
          <w:tcPr>
            <w:tcW w:type="dxa" w:w="25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1,62 / 2,18</w:t>
            </w:r>
          </w:p>
        </w:tc>
      </w:tr>
    </w:tbl>
    <w:p>
      <w:pPr>
        <w:shd w:fill="FCEEEE" w:val="clear"/>
        <w:spacing w:after="200" w:before="100"/>
        <w:ind w:left="200"/>
      </w:pPr>
      <w:r>
        <w:rPr>
          <w:rFonts w:ascii="Calibri" w:cs="Calibri" w:eastAsia="Calibri" w:hAnsi="Calibri"/>
          <w:i/>
          <w:iCs/>
          <w:color w:val="8B1A1A"/>
          <w:sz w:val="20"/>
          <w:szCs w:val="20"/>
        </w:rPr>
        <w:t xml:space="preserve">⚠ Le marché est déjà bien calibré : suivre simplement le favori n'apporte aucun avantage. Un modèle n'a de valeur que s'il fait mieux que cette probabilité implicite, marge comprise. Un backtest de la martingale (mises 1000/2000/4000/8000 F) sur ces mêmes données a perdu dans les 12 variantes testées (−1 % à −14 % des sommes misées) : aucun système de mise ne crée d'avantage à lui seul.</w:t>
      </w:r>
    </w:p>
    <w:p>
      <w:pPr>
        <w:spacing w:after="160"/>
      </w:pPr>
      <w:r>
        <w:rPr>
          <w:rFonts w:ascii="Calibri" w:cs="Calibri" w:eastAsia="Calibri" w:hAnsi="Calibri"/>
          <w:b w:val="false"/>
          <w:bCs w:val="false"/>
          <w:i w:val="false"/>
          <w:iCs w:val="false"/>
        </w:rPr>
        <w:t xml:space="preserve">Taille d'échantillon nécessaire pour valider un avantage : avec une cote autour de 1,7, l'écart-type du rendement d'un pari est d'environ 0,83. Distinguer un avantage réel de 3 % d'un coup de chance demande donc de l'ordre de 3 000 à 7 000 paris simulés hors entraînement — soit 1 à 3 semaines supplémentaires de validation, le modèle ne pariant que sur une partie des manches.</w:t>
      </w:r>
    </w:p>
    <w:p>
      <w:pPr>
        <w:pStyle w:val="Heading2"/>
        <w:spacing w:after="150" w:before="300"/>
      </w:pPr>
      <w:r>
        <w:rPr>
          <w:rFonts w:ascii="Calibri" w:cs="Calibri" w:eastAsia="Calibri" w:hAnsi="Calibri"/>
          <w:b/>
          <w:bCs/>
          <w:color w:val="2F2A2E"/>
        </w:rPr>
        <w:t xml:space="preserve">8.4 Règle de pari et de mise</w:t>
      </w:r>
    </w:p>
    <w:p>
      <w:pPr>
        <w:pStyle w:val="ListParagraph"/>
        <w:numPr>
          <w:ilvl w:val="0"/>
          <w:numId w:val="2"/>
        </w:numPr>
        <w:spacing w:after="80"/>
      </w:pPr>
      <w:r>
        <w:rPr>
          <w:rFonts w:ascii="Calibri" w:cs="Calibri" w:eastAsia="Calibri" w:hAnsi="Calibri"/>
        </w:rPr>
        <w:t xml:space="preserve">Uniquement des value bets : probabilité du modèle supérieure à la probabilité implicite du marché MARGE RETIRÉE, au-delà d'un seuil minimal d'avantage fixé sur la validation (pas sur le test).</w:t>
      </w:r>
    </w:p>
    <w:p>
      <w:pPr>
        <w:pStyle w:val="ListParagraph"/>
        <w:numPr>
          <w:ilvl w:val="0"/>
          <w:numId w:val="2"/>
        </w:numPr>
        <w:spacing w:after="80"/>
      </w:pPr>
      <w:r>
        <w:rPr>
          <w:rFonts w:ascii="Calibri" w:cs="Calibri" w:eastAsia="Calibri" w:hAnsi="Calibri"/>
        </w:rPr>
        <w:t xml:space="preserve">Mise fixe d'abord. Kelly fractionné (1/8) seulement une fois la calibration prouvée hors entraînement : Kelly amplifie toute erreur de calibration (−75,9 % dans l'étude de Bath).</w:t>
      </w:r>
    </w:p>
    <w:p>
      <w:pPr>
        <w:pStyle w:val="ListParagraph"/>
        <w:numPr>
          <w:ilvl w:val="0"/>
          <w:numId w:val="2"/>
        </w:numPr>
        <w:spacing w:after="80"/>
      </w:pPr>
      <w:r>
        <w:rPr>
          <w:rFonts w:ascii="Calibri" w:cs="Calibri" w:eastAsia="Calibri" w:hAnsi="Calibri"/>
        </w:rPr>
        <w:t xml:space="preserve">Aucune progression selon les pertes précédentes (martingale) : les backtests sur nos données la montrent perdante dans toutes les variantes testées, la perte correspondant à la marge du bookmaker.</w:t>
      </w:r>
    </w:p>
    <w:p>
      <w:pPr>
        <w:pStyle w:val="ListParagraph"/>
        <w:numPr>
          <w:ilvl w:val="0"/>
          <w:numId w:val="2"/>
        </w:numPr>
        <w:spacing w:after="80"/>
      </w:pPr>
      <w:r>
        <w:rPr>
          <w:rFonts w:ascii="Calibri" w:cs="Calibri" w:eastAsia="Calibri" w:hAnsi="Calibri"/>
        </w:rPr>
        <w:t xml:space="preserve">Backtest toujours avec la cote réellement disponible au moment du pari (dernière cote avant fermeture du marché), jamais une cote postérieure ; cotes de transition 1,85/1,85 d'AI Table Tennis exclues.</w:t>
      </w:r>
    </w:p>
    <w:p>
      <w:pPr>
        <w:pStyle w:val="Heading1"/>
        <w:spacing w:after="200" w:before="400"/>
      </w:pPr>
      <w:r>
        <w:rPr>
          <w:rFonts w:ascii="Calibri" w:cs="Calibri" w:eastAsia="Calibri" w:hAnsi="Calibri"/>
          <w:b/>
          <w:bCs/>
          <w:color w:val="8B1A1A"/>
        </w:rPr>
        <w:t xml:space="preserve">9. Protocole de validation (walk-forward)</w:t>
      </w:r>
    </w:p>
    <w:p>
      <w:pPr>
        <w:spacing w:after="160"/>
      </w:pPr>
      <w:r>
        <w:rPr>
          <w:rFonts w:ascii="Calibri" w:cs="Calibri" w:eastAsia="Calibri" w:hAnsi="Calibri"/>
          <w:b w:val="false"/>
          <w:bCs w:val="false"/>
          <w:i w:val="false"/>
          <w:iCs w:val="false"/>
        </w:rPr>
        <w:t xml:space="preserve">Plutôt qu'un unique découpage entraînement/test figé, valider en avançant dans le temps, à mesure que les données s'accumulent :</w:t>
      </w:r>
    </w:p>
    <w:p>
      <w:pPr>
        <w:pStyle w:val="ListParagraph"/>
        <w:numPr>
          <w:ilvl w:val="0"/>
          <w:numId w:val="2"/>
        </w:numPr>
        <w:spacing w:after="80"/>
      </w:pPr>
      <w:r>
        <w:rPr>
          <w:rFonts w:ascii="Calibri" w:cs="Calibri" w:eastAsia="Calibri" w:hAnsi="Calibri"/>
        </w:rPr>
        <w:t xml:space="preserve">Semaine 1 : entraîner sur les jours 1 à 5, valider sur les jours 6 à 7</w:t>
      </w:r>
    </w:p>
    <w:p>
      <w:pPr>
        <w:pStyle w:val="ListParagraph"/>
        <w:numPr>
          <w:ilvl w:val="0"/>
          <w:numId w:val="2"/>
        </w:numPr>
        <w:spacing w:after="80"/>
      </w:pPr>
      <w:r>
        <w:rPr>
          <w:rFonts w:ascii="Calibri" w:cs="Calibri" w:eastAsia="Calibri" w:hAnsi="Calibri"/>
        </w:rPr>
        <w:t xml:space="preserve">Semaine 2 : entraîner sur les jours 1 à 12, valider sur les jours 13 à 14</w:t>
      </w:r>
    </w:p>
    <w:p>
      <w:pPr>
        <w:pStyle w:val="ListParagraph"/>
        <w:numPr>
          <w:ilvl w:val="0"/>
          <w:numId w:val="2"/>
        </w:numPr>
        <w:spacing w:after="80"/>
      </w:pPr>
      <w:r>
        <w:rPr>
          <w:rFonts w:ascii="Calibri" w:cs="Calibri" w:eastAsia="Calibri" w:hAnsi="Calibri"/>
        </w:rPr>
        <w:t xml:space="preserve">Et ainsi de suite — chaque nouvelle fenêtre de validation est toujours strictement postérieure à son entraînement</w:t>
      </w:r>
    </w:p>
    <w:p>
      <w:pPr>
        <w:spacing w:after="160"/>
      </w:pPr>
      <w:r>
        <w:rPr>
          <w:rFonts w:ascii="Calibri" w:cs="Calibri" w:eastAsia="Calibri" w:hAnsi="Calibri"/>
          <w:b w:val="false"/>
          <w:bCs w:val="false"/>
          <w:i w:val="false"/>
          <w:iCs w:val="false"/>
        </w:rPr>
        <w:t xml:space="preserve">Cette discipline détecte tôt un problème de dérive (le fournisseur change son générateur) ou de surapprentissage, plutôt que de le découvrir une fois le modèle mis en production.</w:t>
      </w:r>
    </w:p>
    <w:p>
      <w:pPr>
        <w:pStyle w:val="ListParagraph"/>
        <w:numPr>
          <w:ilvl w:val="0"/>
          <w:numId w:val="2"/>
        </w:numPr>
        <w:spacing w:after="80"/>
      </w:pPr>
      <w:r>
        <w:rPr>
          <w:rFonts w:ascii="Calibri" w:cs="Calibri" w:eastAsia="Calibri" w:hAnsi="Calibri"/>
        </w:rPr>
        <w:t xml:space="preserve">Purge et embargo (López de Prado, Advances in Financial Machine Learning) : retirer de l'entraînement les matchs chevauchant la période de validation, et laisser un court intervalle vide entre les deux, pour qu'aucune information corrélée (même match, historique glissant) ne passe de l'un à l'autre.</w:t>
      </w:r>
    </w:p>
    <w:p>
      <w:pPr>
        <w:pStyle w:val="ListParagraph"/>
        <w:numPr>
          <w:ilvl w:val="0"/>
          <w:numId w:val="2"/>
        </w:numPr>
        <w:spacing w:after="80"/>
      </w:pPr>
      <w:r>
        <w:rPr>
          <w:rFonts w:ascii="Calibri" w:cs="Calibri" w:eastAsia="Calibri" w:hAnsi="Calibri"/>
        </w:rPr>
        <w:t xml:space="preserve">Nombre d'essais : chaque variante testée (variables, hyperparamètres, règles de pari) augmente la probabilité qu'une d'elles paraisse rentable par pur hasard. Tenir un registre des essais et exiger une marge de sécurité croissante avec ce nombre avant de conclure à un avantage réel.</w:t>
      </w:r>
    </w:p>
    <w:p>
      <w:pPr>
        <w:pStyle w:val="Heading1"/>
        <w:spacing w:after="200" w:before="400"/>
      </w:pPr>
      <w:r>
        <w:rPr>
          <w:rFonts w:ascii="Calibri" w:cs="Calibri" w:eastAsia="Calibri" w:hAnsi="Calibri"/>
          <w:b/>
          <w:bCs/>
          <w:color w:val="8B1A1A"/>
        </w:rPr>
        <w:t xml:space="preserve">10. Calendrier et feuille de route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600"/>
        <w:gridCol w:w="2600"/>
        <w:gridCol w:w="5800"/>
      </w:tblGrid>
      <w:tr>
        <w:tc>
          <w:tcPr>
            <w:tcW w:type="dxa" w:w="1600"/>
            <w:shd w:fill="8B1A1A"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Phase</w:t>
            </w:r>
          </w:p>
        </w:tc>
        <w:tc>
          <w:tcPr>
            <w:tcW w:type="dxa" w:w="2600"/>
            <w:shd w:fill="8B1A1A"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Échéance</w:t>
            </w:r>
          </w:p>
        </w:tc>
        <w:tc>
          <w:tcPr>
            <w:tcW w:type="dxa" w:w="5800"/>
            <w:shd w:fill="8B1A1A"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Contenu</w:t>
            </w:r>
          </w:p>
        </w:tc>
      </w:tr>
      <w:tr>
        <w:tc>
          <w:tcPr>
            <w:tcW w:type="dxa" w:w="16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1</w:t>
            </w:r>
          </w:p>
        </w:tc>
        <w:tc>
          <w:tcPr>
            <w:tcW w:type="dxa" w:w="26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Continu (déjà en cours)</w:t>
            </w:r>
          </w:p>
        </w:tc>
        <w:tc>
          <w:tcPr>
            <w:tcW w:type="dxa" w:w="58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La collecte tourne 24 h/24 sans interruption ; aucune action requise, seulement laisser le volume s'accumuler</w:t>
            </w:r>
          </w:p>
        </w:tc>
      </w:tr>
      <w:tr>
        <w:tc>
          <w:tcPr>
            <w:tcW w:type="dxa" w:w="16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2</w:t>
            </w:r>
          </w:p>
        </w:tc>
        <w:tc>
          <w:tcPr>
            <w:tcW w:type="dxa" w:w="26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Jour 3 à 7 (fait le 25 septembre 2026)</w:t>
            </w:r>
          </w:p>
        </w:tc>
        <w:tc>
          <w:tcPr>
            <w:tcW w:type="dxa" w:w="58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Extraction, modèles (régression logistique et LightGBM), calibration, comparaison au marché et backtest pour les 3 cibles (durée MKX, finish MK3, vainqueur de manche MKX et MK3) : voir 10.1</w:t>
            </w:r>
          </w:p>
        </w:tc>
      </w:tr>
      <w:tr>
        <w:tc>
          <w:tcPr>
            <w:tcW w:type="dxa" w:w="16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3</w:t>
            </w:r>
          </w:p>
        </w:tc>
        <w:tc>
          <w:tcPr>
            <w:tcW w:type="dxa" w:w="26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Semaine 2 à 3</w:t>
            </w:r>
          </w:p>
        </w:tc>
        <w:tc>
          <w:tcPr>
            <w:tcW w:type="dxa" w:w="58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Ajout des variables par combattant individuel ; réentraînement ; premier bilan de calibration</w:t>
            </w:r>
          </w:p>
        </w:tc>
      </w:tr>
      <w:tr>
        <w:tc>
          <w:tcPr>
            <w:tcW w:type="dxa" w:w="16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4</w:t>
            </w:r>
          </w:p>
        </w:tc>
        <w:tc>
          <w:tcPr>
            <w:tcW w:type="dxa" w:w="26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Semaine 4 à 8</w:t>
            </w:r>
          </w:p>
        </w:tc>
        <w:tc>
          <w:tcPr>
            <w:tcW w:type="dxa" w:w="58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Ajout des variables de matchup (paire de combattants) si le volume le permet ; regroupement des classes rares MK3 si nécessaire (7.2)</w:t>
            </w:r>
          </w:p>
        </w:tc>
      </w:tr>
      <w:tr>
        <w:tc>
          <w:tcPr>
            <w:tcW w:type="dxa" w:w="16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5</w:t>
            </w:r>
          </w:p>
        </w:tc>
        <w:tc>
          <w:tcPr>
            <w:tcW w:type="dxa" w:w="26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Après validation d'un avantage</w:t>
            </w:r>
          </w:p>
        </w:tc>
        <w:tc>
          <w:tcPr>
            <w:tcW w:type="dxa" w:w="58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Prédictions en direct sur un salon Telegram dédié (11), réentraînement encore manuel</w:t>
            </w:r>
          </w:p>
        </w:tc>
      </w:tr>
      <w:tr>
        <w:tc>
          <w:tcPr>
            <w:tcW w:type="dxa" w:w="16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6</w:t>
            </w:r>
          </w:p>
        </w:tc>
        <w:tc>
          <w:tcPr>
            <w:tcW w:type="dxa" w:w="26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Continu ensuite</w:t>
            </w:r>
          </w:p>
        </w:tc>
        <w:tc>
          <w:tcPr>
            <w:tcW w:type="dxa" w:w="58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Réentraînement et redéploiement automatiques quotidiens, avec examen de passage champion/challenger (12) ; surveillance de la dérive par rapport au marché</w:t>
            </w:r>
          </w:p>
        </w:tc>
      </w:tr>
    </w:tbl>
    <w:p>
      <w:pPr>
        <w:shd w:fill="FCEEEE" w:val="clear"/>
        <w:spacing w:after="200" w:before="100"/>
        <w:ind w:left="200"/>
      </w:pPr>
      <w:r>
        <w:rPr>
          <w:rFonts w:ascii="Calibri" w:cs="Calibri" w:eastAsia="Calibri" w:hAnsi="Calibri"/>
          <w:i/>
          <w:iCs/>
          <w:color w:val="8B1A1A"/>
          <w:sz w:val="20"/>
          <w:szCs w:val="20"/>
        </w:rPr>
        <w:t xml:space="preserve">⚠ Calendrier réaliste d'un modèle fiable, s'il existe un signal exploitable : premier verdict vers le 25 septembre 2026 (J+3), modèle complet vers fin octobre - mi-novembre, plus 1 à 3 semaines de validation hors entraînement avant de s'y fier. Il est possible que l'étude conclue à l'absence d'avantage exploitable : ce serait un résultat à part entière.</w:t>
      </w:r>
    </w:p>
    <w:p>
      <w:pPr>
        <w:pStyle w:val="Heading2"/>
        <w:spacing w:after="150" w:before="300"/>
      </w:pPr>
      <w:r>
        <w:rPr>
          <w:rFonts w:ascii="Calibri" w:cs="Calibri" w:eastAsia="Calibri" w:hAnsi="Calibri"/>
          <w:b/>
          <w:bCs/>
          <w:color w:val="2F2A2E"/>
        </w:rPr>
        <w:t xml:space="preserve">10.1 Premier verdict (25 septembre 2026, rapports dans docs/forecasting/rapports/)</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600"/>
        <w:gridCol w:w="2300"/>
        <w:gridCol w:w="4700"/>
      </w:tblGrid>
      <w:tr>
        <w:tc>
          <w:tcPr>
            <w:tcW w:type="dxa" w:w="2600"/>
            <w:shd w:fill="8B1A1A"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Cible</w:t>
            </w:r>
          </w:p>
        </w:tc>
        <w:tc>
          <w:tcPr>
            <w:tcW w:type="dxa" w:w="2300"/>
            <w:shd w:fill="8B1A1A"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Verdict</w:t>
            </w:r>
          </w:p>
        </w:tc>
        <w:tc>
          <w:tcPr>
            <w:tcW w:type="dxa" w:w="4700"/>
            <w:shd w:fill="8B1A1A"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Détail</w:t>
            </w:r>
          </w:p>
        </w:tc>
      </w:tr>
      <w:tr>
        <w:tc>
          <w:tcPr>
            <w:tcW w:type="dxa" w:w="26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Vainqueur de manche MKX et MK3</w:t>
            </w:r>
          </w:p>
        </w:tc>
        <w:tc>
          <w:tcPr>
            <w:tcW w:type="dxa" w:w="23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Aucun avantage détecté</w:t>
            </w:r>
          </w:p>
        </w:tc>
        <w:tc>
          <w:tcPr>
            <w:tcW w:type="dxa" w:w="47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Le modèle seul fait moins bien que le marché ; son poids dans la combinaison est nul. Le marché intègre déjà la force des combattants.</w:t>
            </w:r>
          </w:p>
        </w:tc>
      </w:tr>
      <w:tr>
        <w:tc>
          <w:tcPr>
            <w:tcW w:type="dxa" w:w="26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Type de finish MK3</w:t>
            </w:r>
          </w:p>
        </w:tc>
        <w:tc>
          <w:tcPr>
            <w:tcW w:type="dxa" w:w="23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Signal prometteur, non démontré</w:t>
            </w:r>
          </w:p>
        </w:tc>
        <w:tc>
          <w:tcPr>
            <w:tcW w:type="dxa" w:w="47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Log-loss nettement meilleure que le marché (quelle que soit la méthode de retrait de la marge) : les cotes des finishes rares sont quasiment figées. Mais le backtest à cotes réelles perd (−9,4 %, IC très large), les paris se concentrant sur des issues rares à grosse cote.</w:t>
            </w:r>
          </w:p>
        </w:tc>
      </w:tr>
      <w:tr>
        <w:tc>
          <w:tcPr>
            <w:tcW w:type="dxa" w:w="26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Durée de manche MKX</w:t>
            </w:r>
          </w:p>
        </w:tc>
        <w:tc>
          <w:tcPr>
            <w:tcW w:type="dxa" w:w="23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Préliminaire (≈ 3 jours)</w:t>
            </w:r>
          </w:p>
        </w:tc>
        <w:tc>
          <w:tcPr>
            <w:tcW w:type="dxa" w:w="47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Aucune conclusion possible : écart de log-loss dans le bruit, trop peu de paris.</w:t>
            </w:r>
          </w:p>
        </w:tc>
      </w:tr>
    </w:tbl>
    <w:p>
      <w:pPr>
        <w:shd w:fill="FCEEEE" w:val="clear"/>
        <w:spacing w:after="200" w:before="100"/>
        <w:ind w:left="200"/>
      </w:pPr>
      <w:r>
        <w:rPr>
          <w:rFonts w:ascii="Calibri" w:cs="Calibri" w:eastAsia="Calibri" w:hAnsi="Calibri"/>
          <w:i/>
          <w:iCs/>
          <w:color w:val="8B1A1A"/>
          <w:sz w:val="20"/>
          <w:szCs w:val="20"/>
        </w:rPr>
        <w:t xml:space="preserve">⚠ Prochaine étape pour le type de finish : fixer À L'AVANCE une règle de pari prudente (issues fréquentes R/F/B seulement, seuil d'avantage plus élevé) et la juger sur des données futures, jamais en la réajustant sur la fenêtre déjà utilisée pour le test. Un bilan de chaque évaluation est publié sur le salon Telegram « Prédiction Mortal Kombat » ; aucune prédiction manche par manche tant qu'aucun avantage n'est démontré.</w:t>
      </w:r>
    </w:p>
    <w:p>
      <w:pPr>
        <w:pStyle w:val="Heading1"/>
        <w:spacing w:after="200" w:before="400"/>
      </w:pPr>
      <w:r>
        <w:rPr>
          <w:rFonts w:ascii="Calibri" w:cs="Calibri" w:eastAsia="Calibri" w:hAnsi="Calibri"/>
          <w:b/>
          <w:bCs/>
          <w:color w:val="8B1A1A"/>
        </w:rPr>
        <w:t xml:space="preserve">11. Intégration temps réel (aperçu — phase ultérieure)</w:t>
      </w:r>
    </w:p>
    <w:p>
      <w:pPr>
        <w:spacing w:after="160"/>
      </w:pPr>
      <w:r>
        <w:rPr>
          <w:rFonts w:ascii="Calibri" w:cs="Calibri" w:eastAsia="Calibri" w:hAnsi="Calibri"/>
          <w:b w:val="false"/>
          <w:bCs w:val="false"/>
          <w:i w:val="false"/>
          <w:iCs w:val="false"/>
        </w:rPr>
        <w:t xml:space="preserve">Hors périmètre d'entraînement proprement dit, mais pour situer la suite : une fois un modèle validé, son intégration au collecteur existant suivrait le même principe que le fil de match Telegram déjà en production (voir Memoire.md, section 23) — un nouveau module consommant les mêmes données en direct (round_results, odds_snapshots), calculant les variables à la volée, interrogeant le modèle, et publiant la prédiction (par exemple en complément du message de manche déjà envoyé). Ce module ne fait pas partie du présent plan d'entraînement et sera précisé séparément le moment venu.</w:t>
      </w:r>
    </w:p>
    <w:p>
      <w:pPr>
        <w:pStyle w:val="Heading1"/>
        <w:spacing w:after="200" w:before="400"/>
      </w:pPr>
      <w:r>
        <w:rPr>
          <w:rFonts w:ascii="Calibri" w:cs="Calibri" w:eastAsia="Calibri" w:hAnsi="Calibri"/>
          <w:b/>
          <w:bCs/>
          <w:color w:val="8B1A1A"/>
        </w:rPr>
        <w:t xml:space="preserve">12. Réentraînement et redéploiement automatiques quotidiens</w:t>
      </w:r>
    </w:p>
    <w:p>
      <w:pPr>
        <w:spacing w:after="160"/>
      </w:pPr>
      <w:r>
        <w:rPr>
          <w:rFonts w:ascii="Calibri" w:cs="Calibri" w:eastAsia="Calibri" w:hAnsi="Calibri"/>
          <w:b w:val="false"/>
          <w:bCs w:val="false"/>
          <w:i w:val="false"/>
          <w:iCs w:val="false"/>
        </w:rPr>
        <w:t xml:space="preserve">Décidé avec l'utilisateur le 24 septembre 2026. À mettre en place uniquement APRÈS un premier modèle ayant démontré un avantage sur le marché (phase 6 du calendrier) : automatiser le redéploiement d'un modèle qui ne bat pas la cote n'aurait aucun intérêt.</w:t>
      </w:r>
    </w:p>
    <w:p>
      <w:pPr>
        <w:shd w:fill="FCEEEE" w:val="clear"/>
        <w:spacing w:after="200" w:before="100"/>
        <w:ind w:left="200"/>
      </w:pPr>
      <w:r>
        <w:rPr>
          <w:rFonts w:ascii="Calibri" w:cs="Calibri" w:eastAsia="Calibri" w:hAnsi="Calibri"/>
          <w:i/>
          <w:iCs/>
          <w:color w:val="8B1A1A"/>
          <w:sz w:val="20"/>
          <w:szCs w:val="20"/>
        </w:rPr>
        <w:t xml:space="preserve">⚠ Principe non négociable : un nouveau modèle ne remplace JAMAIS automatiquement le modèle en place sans avoir réussi un examen de passage. Un entraînement peut mal tourner (données anormales un jour donné, bug, changement du simulateur) ; un redéploiement aveugle mettrait en production un modèle pire sans que personne ne s'en aperçoive.</w:t>
      </w:r>
    </w:p>
    <w:p>
      <w:pPr>
        <w:pStyle w:val="Heading2"/>
        <w:spacing w:after="150" w:before="300"/>
      </w:pPr>
      <w:r>
        <w:rPr>
          <w:rFonts w:ascii="Calibri" w:cs="Calibri" w:eastAsia="Calibri" w:hAnsi="Calibri"/>
          <w:b/>
          <w:bCs/>
          <w:color w:val="2F2A2E"/>
        </w:rPr>
        <w:t xml:space="preserve">12.1 Déroulement quotidien (champion contre challenger)</w:t>
      </w:r>
    </w:p>
    <w:p>
      <w:pPr>
        <w:pStyle w:val="ListParagraph"/>
        <w:numPr>
          <w:ilvl w:val="0"/>
          <w:numId w:val="2"/>
        </w:numPr>
        <w:spacing w:after="80"/>
      </w:pPr>
      <w:r>
        <w:rPr>
          <w:rFonts w:ascii="Calibri" w:cs="Calibri" w:eastAsia="Calibri" w:hAnsi="Calibri"/>
        </w:rPr>
        <w:t xml:space="preserve">Chaque jour à heure fixe (ex. 4h00 UTC, après la sauvegarde de 3h00), une tâche cron lance l'entraînement dans un conteneur séparé (profil Docker dédié), jamais dans le conteneur du collecteur.</w:t>
      </w:r>
    </w:p>
    <w:p>
      <w:pPr>
        <w:pStyle w:val="ListParagraph"/>
        <w:numPr>
          <w:ilvl w:val="0"/>
          <w:numId w:val="2"/>
        </w:numPr>
        <w:spacing w:after="80"/>
      </w:pPr>
      <w:r>
        <w:rPr>
          <w:rFonts w:ascii="Calibri" w:cs="Calibri" w:eastAsia="Calibri" w:hAnsi="Calibri"/>
        </w:rPr>
        <w:t xml:space="preserve">Extraction des données à jour (section 6), entraînement d'un nouveau modèle : le « challenger ».</w:t>
      </w:r>
    </w:p>
    <w:p>
      <w:pPr>
        <w:pStyle w:val="ListParagraph"/>
        <w:numPr>
          <w:ilvl w:val="0"/>
          <w:numId w:val="2"/>
        </w:numPr>
        <w:spacing w:after="80"/>
      </w:pPr>
      <w:r>
        <w:rPr>
          <w:rFonts w:ascii="Calibri" w:cs="Calibri" w:eastAsia="Calibri" w:hAnsi="Calibri"/>
        </w:rPr>
        <w:t xml:space="preserve">Examen de passage, sur les 1 à 2 derniers jours qu'aucun des deux modèles n'a vus : le challenger doit faire au moins aussi bien que le modèle en place (le « champion »), faire mieux que la probabilité implicite du marché, et réussir les contrôles de cohérence (volume minimal de données, log-loss et classwise-ECE au moins aussi bons que le champion — section 7.3 —, aucune valeur aberrante).</w:t>
      </w:r>
    </w:p>
    <w:p>
      <w:pPr>
        <w:pStyle w:val="ListParagraph"/>
        <w:numPr>
          <w:ilvl w:val="0"/>
          <w:numId w:val="2"/>
        </w:numPr>
        <w:spacing w:after="80"/>
      </w:pPr>
      <w:r>
        <w:rPr>
          <w:rFonts w:ascii="Calibri" w:cs="Calibri" w:eastAsia="Calibri" w:hAnsi="Calibri"/>
        </w:rPr>
        <w:t xml:space="preserve">Examen réussi : le modèle est enregistré avec sa date et ses métriques, puis désigné comme modèle actif. Le collecteur le charge seul au match suivant, sans redémarrage ni coupure de service.</w:t>
      </w:r>
    </w:p>
    <w:p>
      <w:pPr>
        <w:pStyle w:val="ListParagraph"/>
        <w:numPr>
          <w:ilvl w:val="0"/>
          <w:numId w:val="2"/>
        </w:numPr>
        <w:spacing w:after="80"/>
      </w:pPr>
      <w:r>
        <w:rPr>
          <w:rFonts w:ascii="Calibri" w:cs="Calibri" w:eastAsia="Calibri" w:hAnsi="Calibri"/>
        </w:rPr>
        <w:t xml:space="preserve">Examen échoué : le champion reste en place, rien ne change en production.</w:t>
      </w:r>
    </w:p>
    <w:p>
      <w:pPr>
        <w:pStyle w:val="ListParagraph"/>
        <w:numPr>
          <w:ilvl w:val="0"/>
          <w:numId w:val="2"/>
        </w:numPr>
        <w:spacing w:after="80"/>
      </w:pPr>
      <w:r>
        <w:rPr>
          <w:rFonts w:ascii="Calibri" w:cs="Calibri" w:eastAsia="Calibri" w:hAnsi="Calibri"/>
        </w:rPr>
        <w:t xml:space="preserve">Dans les deux cas, un message sur le canal d'alertes techniques (ex. « Nouveau modèle déployé : log-loss 0,672 → 0,668 » ou « Modèle du jour rejeté, ancien conservé »).</w:t>
      </w:r>
    </w:p>
    <w:p>
      <w:pPr>
        <w:pStyle w:val="Heading2"/>
        <w:spacing w:after="150" w:before="300"/>
      </w:pPr>
      <w:r>
        <w:rPr>
          <w:rFonts w:ascii="Calibri" w:cs="Calibri" w:eastAsia="Calibri" w:hAnsi="Calibri"/>
          <w:b/>
          <w:bCs/>
          <w:color w:val="2F2A2E"/>
        </w:rPr>
        <w:t xml:space="preserve">12.2 Sécurités</w:t>
      </w:r>
    </w:p>
    <w:p>
      <w:pPr>
        <w:pStyle w:val="ListParagraph"/>
        <w:numPr>
          <w:ilvl w:val="0"/>
          <w:numId w:val="2"/>
        </w:numPr>
        <w:spacing w:after="80"/>
      </w:pPr>
      <w:r>
        <w:rPr>
          <w:rFonts w:ascii="Calibri" w:cs="Calibri" w:eastAsia="Calibri" w:hAnsi="Calibri"/>
        </w:rPr>
        <w:t xml:space="preserve">Historique des versions : les derniers modèles sont conservés ; retour en arrière en une commande, ou automatiquement si la performance réelle se dégrade.</w:t>
      </w:r>
    </w:p>
    <w:p>
      <w:pPr>
        <w:pStyle w:val="ListParagraph"/>
        <w:numPr>
          <w:ilvl w:val="0"/>
          <w:numId w:val="2"/>
        </w:numPr>
        <w:spacing w:after="80"/>
      </w:pPr>
      <w:r>
        <w:rPr>
          <w:rFonts w:ascii="Calibri" w:cs="Calibri" w:eastAsia="Calibri" w:hAnsi="Calibri"/>
        </w:rPr>
        <w:t xml:space="preserve">Suivi en production : chaque prédiction est enregistrée en base puis comparée au résultat réel ; alerte si le modèle en place perd face au marché plusieurs jours de suite.</w:t>
      </w:r>
    </w:p>
    <w:p>
      <w:pPr>
        <w:pStyle w:val="ListParagraph"/>
        <w:numPr>
          <w:ilvl w:val="0"/>
          <w:numId w:val="2"/>
        </w:numPr>
        <w:spacing w:after="80"/>
      </w:pPr>
      <w:r>
        <w:rPr>
          <w:rFonts w:ascii="Calibri" w:cs="Calibri" w:eastAsia="Calibri" w:hAnsi="Calibri"/>
        </w:rPr>
        <w:t xml:space="preserve">Isolation : conteneur d'entraînement avec limite de mémoire, incapable de priver Postgres ou le collecteur de ressources. S'il échoue, la production continue avec le modèle actuel : elle n'est jamais laissée sans modèle.</w:t>
      </w:r>
    </w:p>
    <w:p>
      <w:pPr>
        <w:pStyle w:val="ListParagraph"/>
        <w:numPr>
          <w:ilvl w:val="0"/>
          <w:numId w:val="2"/>
        </w:numPr>
        <w:spacing w:after="80"/>
      </w:pPr>
      <w:r>
        <w:rPr>
          <w:rFonts w:ascii="Calibri" w:cs="Calibri" w:eastAsia="Calibri" w:hAnsi="Calibri"/>
        </w:rPr>
        <w:t xml:space="preserve">Coût : quelques minutes de calcul par jour, largement supporté par le VPS actuel (8 Go, ≈ 580 Mo utilisés). Sur une instance à 1 Go, l'entraînement devrait se faire ailleurs.</w:t>
      </w:r>
    </w:p>
    <w:p>
      <w:pPr>
        <w:pStyle w:val="Heading1"/>
        <w:spacing w:after="200" w:before="400"/>
      </w:pPr>
      <w:r>
        <w:rPr>
          <w:rFonts w:ascii="Calibri" w:cs="Calibri" w:eastAsia="Calibri" w:hAnsi="Calibri"/>
          <w:b/>
          <w:bCs/>
          <w:color w:val="8B1A1A"/>
        </w:rPr>
        <w:t xml:space="preserve">13. Risques et limites</w:t>
      </w:r>
    </w:p>
    <w:p>
      <w:pPr>
        <w:pStyle w:val="ListParagraph"/>
        <w:numPr>
          <w:ilvl w:val="0"/>
          <w:numId w:val="2"/>
        </w:numPr>
        <w:spacing w:after="80"/>
      </w:pPr>
      <w:r>
        <w:rPr>
          <w:rFonts w:ascii="Calibri" w:cs="Calibri" w:eastAsia="Calibri" w:hAnsi="Calibri"/>
        </w:rPr>
        <w:t xml:space="preserve">Nature simulée du jeu : plancher d'aléa irréductible, déjà signalé en section 1.3 — à rappeler dans toute présentation des résultats pour ne pas sur-promettre.</w:t>
      </w:r>
    </w:p>
    <w:p>
      <w:pPr>
        <w:pStyle w:val="ListParagraph"/>
        <w:numPr>
          <w:ilvl w:val="0"/>
          <w:numId w:val="2"/>
        </w:numPr>
        <w:spacing w:after="80"/>
      </w:pPr>
      <w:r>
        <w:rPr>
          <w:rFonts w:ascii="Calibri" w:cs="Calibri" w:eastAsia="Calibri" w:hAnsi="Calibri"/>
        </w:rPr>
        <w:t xml:space="preserve">Déséquilibre extrême des classes rares côté MK3 (Hara-Kiri, Animality) : un modèle entraîné trop tôt sur trop peu d'exemples de ces classes donnera des probabilités non fiables sur elles, même si le reste du modèle est bon.</w:t>
      </w:r>
    </w:p>
    <w:p>
      <w:pPr>
        <w:pStyle w:val="ListParagraph"/>
        <w:numPr>
          <w:ilvl w:val="0"/>
          <w:numId w:val="2"/>
        </w:numPr>
        <w:spacing w:after="80"/>
      </w:pPr>
      <w:r>
        <w:rPr>
          <w:rFonts w:ascii="Calibri" w:cs="Calibri" w:eastAsia="Calibri" w:hAnsi="Calibri"/>
        </w:rPr>
        <w:t xml:space="preserve">Dérive possible si le fournisseur du jeu modifie son générateur (nouveaux personnages, rééquilibrage) : le protocole walk-forward (section 9) est la principale protection, à ne jamais sauter une fois le modèle en production.</w:t>
      </w:r>
    </w:p>
    <w:p>
      <w:pPr>
        <w:pStyle w:val="ListParagraph"/>
        <w:numPr>
          <w:ilvl w:val="0"/>
          <w:numId w:val="2"/>
        </w:numPr>
        <w:spacing w:after="80"/>
      </w:pPr>
      <w:r>
        <w:rPr>
          <w:rFonts w:ascii="Calibri" w:cs="Calibri" w:eastAsia="Calibri" w:hAnsi="Calibri"/>
        </w:rPr>
        <w:t xml:space="preserve">Fuite de données (data leakage) : rappelée en 4.6 et 6.4 car c'est l'erreur la plus fréquente et la plus difficile à détecter a posteriori — toujours vérifier qu'aucune variable ne "voit" le futur par rapport à la manche prédite.</w:t>
      </w:r>
    </w:p>
    <w:p>
      <w:pPr>
        <w:pStyle w:val="ListParagraph"/>
        <w:numPr>
          <w:ilvl w:val="0"/>
          <w:numId w:val="2"/>
        </w:numPr>
        <w:spacing w:after="80"/>
      </w:pPr>
      <w:r>
        <w:rPr>
          <w:rFonts w:ascii="Calibri" w:cs="Calibri" w:eastAsia="Calibri" w:hAnsi="Calibri"/>
        </w:rPr>
        <w:t xml:space="preserve">Champ WT de round_results, dont la signification reste non établie (Memoire.md, section 15) : à exclure des variables tant qu'il n'est pas mieux compris, plutôt que de l'utiliser à l'aveugle.</w:t>
      </w:r>
    </w:p>
    <w:p>
      <w:pPr>
        <w:pStyle w:val="Heading1"/>
        <w:spacing w:after="200" w:before="400"/>
      </w:pPr>
      <w:r>
        <w:rPr>
          <w:rFonts w:ascii="Calibri" w:cs="Calibri" w:eastAsia="Calibri" w:hAnsi="Calibri"/>
          <w:b/>
          <w:bCs/>
          <w:color w:val="8B1A1A"/>
        </w:rPr>
        <w:t xml:space="preserve">Annexe — références</w:t>
      </w:r>
    </w:p>
    <w:p>
      <w:pPr>
        <w:pStyle w:val="ListParagraph"/>
        <w:numPr>
          <w:ilvl w:val="0"/>
          <w:numId w:val="2"/>
        </w:numPr>
        <w:spacing w:after="80"/>
      </w:pPr>
      <w:r>
        <w:rPr>
          <w:rFonts w:ascii="Calibri" w:cs="Calibri" w:eastAsia="Calibri" w:hAnsi="Calibri"/>
        </w:rPr>
        <w:t xml:space="preserve">Walsh C., Joshi A. (2024), « Machine learning for sports betting: should model selection be based on accuracy or calibration? », Machine Learning with Applications — arXiv:2303.06021 (v4). Retenu : sélection par calibration (classwise-ECE), value bets, mise fixe avant Kelly fractionné.</w:t>
      </w:r>
    </w:p>
    <w:p>
      <w:pPr>
        <w:pStyle w:val="ListParagraph"/>
        <w:numPr>
          <w:ilvl w:val="0"/>
          <w:numId w:val="2"/>
        </w:numPr>
        <w:spacing w:after="80"/>
      </w:pPr>
      <w:r>
        <w:rPr>
          <w:rFonts w:ascii="Calibri" w:cs="Calibri" w:eastAsia="Calibri" w:hAnsi="Calibri"/>
        </w:rPr>
        <w:t xml:space="preserve">« XGBoost Learning of Dynamic Wager Placement for In-Play Betting » (Université de Bristol), arXiv:2401.06086. Données entièrement simulées (courses fictives) ; les auteurs déconseillent d'en tirer des paris réels. Retenu seulement : combiner état du jeu en direct et état du marché comme variables.</w:t>
      </w:r>
    </w:p>
    <w:p>
      <w:pPr>
        <w:pStyle w:val="ListParagraph"/>
        <w:numPr>
          <w:ilvl w:val="0"/>
          <w:numId w:val="2"/>
        </w:numPr>
        <w:spacing w:after="80"/>
      </w:pPr>
      <w:r>
        <w:rPr>
          <w:rFonts w:ascii="Calibri" w:cs="Calibri" w:eastAsia="Calibri" w:hAnsi="Calibri"/>
        </w:rPr>
        <w:t xml:space="preserve">López de Prado M., « Advances in Financial Machine Learning ». Retenu : validation croisée purgée avec embargo, prise en compte du nombre d'essais. Non retenu : Triple-Barrier Labels, conçus pour des séries boursières continues (nos issues sont déjà naturellement étiquetées).</w:t>
      </w:r>
    </w:p>
    <w:p>
      <w:pPr>
        <w:pStyle w:val="Heading1"/>
        <w:spacing w:after="200" w:before="400"/>
      </w:pPr>
      <w:r>
        <w:rPr>
          <w:rFonts w:ascii="Calibri" w:cs="Calibri" w:eastAsia="Calibri" w:hAnsi="Calibri"/>
          <w:b/>
          <w:bCs/>
          <w:color w:val="8B1A1A"/>
        </w:rPr>
        <w:t xml:space="preserve">Annexe — glossaire rapide</w:t>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2400"/>
        <w:gridCol w:w="6200"/>
      </w:tblGrid>
      <w:tr>
        <w:tc>
          <w:tcPr>
            <w:tcW w:type="dxa" w:w="2400"/>
            <w:shd w:fill="8B1A1A"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Terme</w:t>
            </w:r>
          </w:p>
        </w:tc>
        <w:tc>
          <w:tcPr>
            <w:tcW w:type="dxa" w:w="6200"/>
            <w:shd w:fill="8B1A1A"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Définition</w:t>
            </w:r>
          </w:p>
        </w:tc>
      </w:tr>
      <w:tr>
        <w:tc>
          <w:tcPr>
            <w:tcW w:type="dxa" w:w="24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Brier score</w:t>
            </w:r>
          </w:p>
        </w:tc>
        <w:tc>
          <w:tcPr>
            <w:tcW w:type="dxa" w:w="62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Erreur quadratique moyenne entre une probabilité prédite et l'issue réelle (0 ou 1) — plus bas est meilleur.</w:t>
            </w:r>
          </w:p>
        </w:tc>
      </w:tr>
      <w:tr>
        <w:tc>
          <w:tcPr>
            <w:tcW w:type="dxa" w:w="24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Log-loss</w:t>
            </w:r>
          </w:p>
        </w:tc>
        <w:tc>
          <w:tcPr>
            <w:tcW w:type="dxa" w:w="62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Pénalise fortement une probabilité confiante mais fausse — la métrique de référence pour des probabilités bien calibrées.</w:t>
            </w:r>
          </w:p>
        </w:tc>
      </w:tr>
      <w:tr>
        <w:tc>
          <w:tcPr>
            <w:tcW w:type="dxa" w:w="24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Calibration</w:t>
            </w:r>
          </w:p>
        </w:tc>
        <w:tc>
          <w:tcPr>
            <w:tcW w:type="dxa" w:w="62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Une prédiction à 70 % doit se réaliser ≈70 % du temps sur un grand nombre de cas — distinct de la simple exactitude de classement.</w:t>
            </w:r>
          </w:p>
        </w:tc>
      </w:tr>
      <w:tr>
        <w:tc>
          <w:tcPr>
            <w:tcW w:type="dxa" w:w="24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Walk-forward</w:t>
            </w:r>
          </w:p>
        </w:tc>
        <w:tc>
          <w:tcPr>
            <w:tcW w:type="dxa" w:w="62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Validation qui avance dans le temps par fenêtres successives, toujours entraînement avant, test après.</w:t>
            </w:r>
          </w:p>
        </w:tc>
      </w:tr>
      <w:tr>
        <w:tc>
          <w:tcPr>
            <w:tcW w:type="dxa" w:w="24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Data leakage (fuite)</w:t>
            </w:r>
          </w:p>
        </w:tc>
        <w:tc>
          <w:tcPr>
            <w:tcW w:type="dxa" w:w="62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Utiliser, par erreur, une information qui ne serait pas disponible au moment réel de la prédiction — fausse la performance mesurée à la hausse.</w:t>
            </w:r>
          </w:p>
        </w:tc>
      </w:tr>
      <w:tr>
        <w:tc>
          <w:tcPr>
            <w:tcW w:type="dxa" w:w="24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Probabilité implicite</w:t>
            </w:r>
          </w:p>
        </w:tc>
        <w:tc>
          <w:tcPr>
            <w:tcW w:type="dxa" w:w="62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1 / cote décimale (approximation avant retrait de la marge du bookmaker) — sert de repère de comparaison au modèle.</w:t>
            </w:r>
          </w:p>
        </w:tc>
      </w:tr>
    </w:tbl>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00"/>
      </w:pPr>
    </w:lvl>
    <w:lvl w:ilvl="1" w15:tentative="1">
      <w:start w:val="1"/>
      <w:numFmt w:val="bullet"/>
      <w:lvlText w:val="◦"/>
      <w:lvlJc w:val="left"/>
      <w:pPr>
        <w:ind w:left="800" w:hanging="2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2026-09-28T01:49:32.632Z</dcterms:created>
  <dcterms:modified xsi:type="dcterms:W3CDTF">2026-09-28T01:49:33.699Z</dcterms:modified>
</cp:coreProperties>
</file>

<file path=docProps/custom.xml><?xml version="1.0" encoding="utf-8"?>
<Properties xmlns="http://schemas.openxmlformats.org/officeDocument/2006/custom-properties" xmlns:vt="http://schemas.openxmlformats.org/officeDocument/2006/docPropsVTypes"/>
</file>