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2CBA79FE" w:rsidR="00917514" w:rsidRPr="00C720AE" w:rsidRDefault="00917514" w:rsidP="00C720AE">
      <w:pPr>
        <w:pStyle w:val="Heading2"/>
      </w:pPr>
      <w:r>
        <w:t>Review introduction</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43639E13" w:rsidR="006E384B" w:rsidRDefault="002939A6" w:rsidP="002939A6">
      <w:r>
        <w:t>Current</w:t>
      </w:r>
      <w:r w:rsidR="00DE2B36">
        <w:t xml:space="preserve"> computational</w:t>
      </w:r>
      <w:r>
        <w:t xml:space="preserve"> methods of repurposing drugs and targets </w:t>
      </w:r>
      <w:r w:rsidR="006E384B">
        <w:t>for infectious diseases follow two</w:t>
      </w:r>
      <w:r>
        <w:t xml:space="preserve"> approaches</w:t>
      </w:r>
      <w:r w:rsidR="006E384B">
        <w:t>:</w:t>
      </w:r>
    </w:p>
    <w:p w14:paraId="56E66144" w14:textId="77777777" w:rsidR="00DD40EF" w:rsidRDefault="00DD40EF" w:rsidP="00DD40EF">
      <w:pPr>
        <w:pStyle w:val="ListParagraph"/>
        <w:numPr>
          <w:ilvl w:val="0"/>
          <w:numId w:val="8"/>
        </w:numPr>
      </w:pPr>
      <w:r>
        <w:t>Annotation-centric approaches identify targets based on existing knowledge and annotations (such as structure, protein family, process, or evolutionary relationship).</w:t>
      </w:r>
    </w:p>
    <w:p w14:paraId="20540077" w14:textId="49B715A6" w:rsidR="006E384B" w:rsidRDefault="00370AE1" w:rsidP="006A77E9">
      <w:pPr>
        <w:pStyle w:val="ListParagraph"/>
        <w:numPr>
          <w:ilvl w:val="0"/>
          <w:numId w:val="8"/>
        </w:numPr>
      </w:pPr>
      <w:r>
        <w:t>L</w:t>
      </w:r>
      <w:r w:rsidR="002939A6">
        <w:t>igand</w:t>
      </w:r>
      <w:r w:rsidR="006E384B">
        <w:t>-</w:t>
      </w:r>
      <w:r w:rsidR="002939A6">
        <w:t>centric</w:t>
      </w:r>
      <w:r w:rsidR="006E384B">
        <w:t xml:space="preserve"> </w:t>
      </w:r>
      <w:proofErr w:type="spellStart"/>
      <w:r w:rsidR="006E384B">
        <w:t>approach</w:t>
      </w:r>
      <w:r>
        <w:t>s</w:t>
      </w:r>
      <w:proofErr w:type="spellEnd"/>
      <w:r w:rsidR="006E384B">
        <w:t xml:space="preserve"> </w:t>
      </w:r>
      <w:proofErr w:type="spellStart"/>
      <w:r w:rsidR="006E384B">
        <w:t>searche</w:t>
      </w:r>
      <w:proofErr w:type="spellEnd"/>
      <w:r w:rsidR="006E384B">
        <w:t xml:space="preserve"> ligand databases according to chemical similarity to known drugs that have been successful against the </w:t>
      </w:r>
      <w:proofErr w:type="gramStart"/>
      <w:r w:rsidR="006E384B">
        <w:t>disease</w:t>
      </w:r>
      <w:r w:rsidR="002939A6">
        <w:t xml:space="preserve"> </w:t>
      </w:r>
      <w:r w:rsidR="006E384B">
        <w:t xml:space="preserve"> organism</w:t>
      </w:r>
      <w:proofErr w:type="gramEnd"/>
      <w:r w:rsidR="006E384B">
        <w:t>.</w:t>
      </w:r>
    </w:p>
    <w:p w14:paraId="7529C044" w14:textId="6C673A9E" w:rsidR="002939A6" w:rsidRDefault="006E384B" w:rsidP="006A77E9">
      <w:pPr>
        <w:ind w:left="360"/>
      </w:pPr>
      <w:r>
        <w:t xml:space="preserve">This </w:t>
      </w:r>
      <w:r w:rsidR="00351098">
        <w:t xml:space="preserve">paper </w:t>
      </w:r>
      <w:r w:rsidR="007B2C1C">
        <w:t>demonstrates</w:t>
      </w:r>
      <w:r w:rsidR="00351098">
        <w:t xml:space="preserve"> a third approach, which is </w:t>
      </w:r>
      <w:r w:rsidR="002939A6">
        <w:t>geno</w:t>
      </w:r>
      <w:r w:rsidR="00351098">
        <w:t>me-centric.  This approach uses</w:t>
      </w:r>
      <w:r w:rsidR="002939A6">
        <w:t xml:space="preserve"> the genes of the </w:t>
      </w:r>
      <w:r w:rsidR="00351098">
        <w:t xml:space="preserve">disease </w:t>
      </w:r>
      <w:r w:rsidR="002939A6">
        <w:t xml:space="preserve">organism as keys </w:t>
      </w:r>
      <w:r w:rsidR="007B2C1C">
        <w:t>that</w:t>
      </w:r>
      <w:r w:rsidR="002939A6">
        <w:t xml:space="preserve"> reveal their “target-ness” by similarity to proteins in </w:t>
      </w:r>
      <w:r w:rsidR="00351098">
        <w:t xml:space="preserve">a </w:t>
      </w:r>
      <w:r w:rsidR="002939A6">
        <w:t>targets database.</w:t>
      </w:r>
      <w:r w:rsidR="00370AE1">
        <w:t xml:space="preserve">  It could also be considered as a way of extending annotation based approaches by associating new proteins to existing target protein annotations.  The author has used MyChEMBL’s </w:t>
      </w:r>
      <w:r w:rsidR="00370AE1" w:rsidRPr="00134601">
        <w:rPr>
          <w:i/>
        </w:rPr>
        <w:t>Postgre</w:t>
      </w:r>
      <w:r w:rsidR="00370AE1">
        <w:rPr>
          <w:i/>
        </w:rPr>
        <w:t>SQL</w:t>
      </w:r>
      <w:r w:rsidR="00370AE1">
        <w:t xml:space="preserve"> database, which links target protein sequences to many kinds of protein annotations.</w:t>
      </w:r>
    </w:p>
    <w:p w14:paraId="56F97A2C" w14:textId="15848B60" w:rsidR="00917514" w:rsidRDefault="00917514" w:rsidP="00C720AE">
      <w:pPr>
        <w:pStyle w:val="Heading2"/>
      </w:pPr>
      <w:r>
        <w:t>Review body</w:t>
      </w:r>
    </w:p>
    <w:p w14:paraId="431492B8" w14:textId="77777777" w:rsidR="00DD40EF" w:rsidRDefault="00DD40EF" w:rsidP="00DD40EF">
      <w:pPr>
        <w:pStyle w:val="Heading2"/>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p>
    <w:p w14:paraId="04711326" w14:textId="275A620F" w:rsidR="001A3245" w:rsidRDefault="002939A6" w:rsidP="00C720AE">
      <w:pPr>
        <w:pStyle w:val="Heading3"/>
      </w:pPr>
      <w:r>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43EEEBC7" w:rsidR="008218E8" w:rsidRPr="00B707D7" w:rsidRDefault="008218E8" w:rsidP="00C720AE">
      <w:pPr>
        <w:pStyle w:val="Heading3"/>
      </w:pPr>
      <w:bookmarkStart w:id="0" w:name="_GoBack"/>
      <w:bookmarkEnd w:id="0"/>
      <w:r>
        <w:t>Sequence Similarity approaches used in this paper</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lastRenderedPageBreak/>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211E35"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211E35"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211E35"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211E35"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211E35"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211E35"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211E35"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211E35"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211E35"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211E35"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211E35"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211E35"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211E35"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211E35"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211E35"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211E35"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9088286"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9088287"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9088288"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9088289"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9088290"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76D43" w14:textId="77777777" w:rsidR="00211E35" w:rsidRDefault="00211E35" w:rsidP="0008119B">
      <w:pPr>
        <w:spacing w:after="0" w:line="240" w:lineRule="auto"/>
      </w:pPr>
      <w:r>
        <w:separator/>
      </w:r>
    </w:p>
  </w:endnote>
  <w:endnote w:type="continuationSeparator" w:id="0">
    <w:p w14:paraId="3D31C63D" w14:textId="77777777" w:rsidR="00211E35" w:rsidRDefault="00211E35"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7447F" w14:textId="77777777" w:rsidR="00211E35" w:rsidRDefault="00211E35" w:rsidP="0008119B">
      <w:pPr>
        <w:spacing w:after="0" w:line="240" w:lineRule="auto"/>
      </w:pPr>
      <w:r>
        <w:separator/>
      </w:r>
    </w:p>
  </w:footnote>
  <w:footnote w:type="continuationSeparator" w:id="0">
    <w:p w14:paraId="5CDFAFE7" w14:textId="77777777" w:rsidR="00211E35" w:rsidRDefault="00211E35"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30E19E4F" w:rsidR="006E384B" w:rsidRDefault="006E384B">
        <w:pPr>
          <w:pStyle w:val="Header"/>
          <w:jc w:val="right"/>
        </w:pPr>
        <w:r>
          <w:fldChar w:fldCharType="begin"/>
        </w:r>
        <w:r>
          <w:instrText xml:space="preserve"> PAGE   \* MERGEFORMAT </w:instrText>
        </w:r>
        <w:r>
          <w:fldChar w:fldCharType="separate"/>
        </w:r>
        <w:r w:rsidR="00E40A73">
          <w:rPr>
            <w:noProof/>
          </w:rPr>
          <w:t>4</w:t>
        </w:r>
        <w:r>
          <w:rPr>
            <w:noProof/>
          </w:rPr>
          <w:fldChar w:fldCharType="end"/>
        </w:r>
      </w:p>
    </w:sdtContent>
  </w:sdt>
  <w:p w14:paraId="4026355C" w14:textId="77777777" w:rsidR="006E384B" w:rsidRDefault="006E3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178BE"/>
    <w:rsid w:val="00134601"/>
    <w:rsid w:val="001470A0"/>
    <w:rsid w:val="00151A46"/>
    <w:rsid w:val="001708D9"/>
    <w:rsid w:val="00172D93"/>
    <w:rsid w:val="0017456C"/>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098"/>
    <w:rsid w:val="00351181"/>
    <w:rsid w:val="003574DC"/>
    <w:rsid w:val="00364BA7"/>
    <w:rsid w:val="00366FA5"/>
    <w:rsid w:val="00370AE1"/>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650A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51A2"/>
    <w:rsid w:val="00597E0E"/>
    <w:rsid w:val="005A134C"/>
    <w:rsid w:val="005A1C41"/>
    <w:rsid w:val="005B2FA0"/>
    <w:rsid w:val="005B4C30"/>
    <w:rsid w:val="005C12B2"/>
    <w:rsid w:val="005C22A9"/>
    <w:rsid w:val="005D01A5"/>
    <w:rsid w:val="005D59DF"/>
    <w:rsid w:val="005D6226"/>
    <w:rsid w:val="005D6238"/>
    <w:rsid w:val="005D76D2"/>
    <w:rsid w:val="005F0AB0"/>
    <w:rsid w:val="00616DE8"/>
    <w:rsid w:val="00622EE4"/>
    <w:rsid w:val="00633589"/>
    <w:rsid w:val="00633A17"/>
    <w:rsid w:val="00636C23"/>
    <w:rsid w:val="00656E1F"/>
    <w:rsid w:val="00660F2E"/>
    <w:rsid w:val="00687FB8"/>
    <w:rsid w:val="006A329D"/>
    <w:rsid w:val="006A77E9"/>
    <w:rsid w:val="006B1356"/>
    <w:rsid w:val="006B4E31"/>
    <w:rsid w:val="006B62D5"/>
    <w:rsid w:val="006C6868"/>
    <w:rsid w:val="006D46B2"/>
    <w:rsid w:val="006E384B"/>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96760"/>
    <w:rsid w:val="007A0E0C"/>
    <w:rsid w:val="007A1A6A"/>
    <w:rsid w:val="007A6684"/>
    <w:rsid w:val="007A6E75"/>
    <w:rsid w:val="007B2216"/>
    <w:rsid w:val="007B2C1C"/>
    <w:rsid w:val="007C4B94"/>
    <w:rsid w:val="007D5013"/>
    <w:rsid w:val="007E0CCB"/>
    <w:rsid w:val="007E2BEB"/>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10968"/>
    <w:rsid w:val="00916277"/>
    <w:rsid w:val="00917514"/>
    <w:rsid w:val="00923EB4"/>
    <w:rsid w:val="00930F92"/>
    <w:rsid w:val="00942D2C"/>
    <w:rsid w:val="00971723"/>
    <w:rsid w:val="00971EE3"/>
    <w:rsid w:val="00974BA4"/>
    <w:rsid w:val="00985D3D"/>
    <w:rsid w:val="00987D65"/>
    <w:rsid w:val="00995B6C"/>
    <w:rsid w:val="009C06BB"/>
    <w:rsid w:val="009C2319"/>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20AE"/>
    <w:rsid w:val="00C7666C"/>
    <w:rsid w:val="00C77641"/>
    <w:rsid w:val="00C9184A"/>
    <w:rsid w:val="00CA3646"/>
    <w:rsid w:val="00CC22B1"/>
    <w:rsid w:val="00CD2FF0"/>
    <w:rsid w:val="00CD5166"/>
    <w:rsid w:val="00CF77D9"/>
    <w:rsid w:val="00D06F96"/>
    <w:rsid w:val="00D16ECE"/>
    <w:rsid w:val="00D31A3D"/>
    <w:rsid w:val="00D42C33"/>
    <w:rsid w:val="00D4728D"/>
    <w:rsid w:val="00D52293"/>
    <w:rsid w:val="00D62FF8"/>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702F1"/>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74EF-3678-4BD0-8076-F842373C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1</Pages>
  <Words>10009</Words>
  <Characters>57057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217</cp:revision>
  <dcterms:created xsi:type="dcterms:W3CDTF">2016-11-28T01:23:00Z</dcterms:created>
  <dcterms:modified xsi:type="dcterms:W3CDTF">2017-10-10T01:05:00Z</dcterms:modified>
</cp:coreProperties>
</file>