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proofErr w:type="spellStart"/>
      <w:r w:rsidR="00703C63">
        <w:rPr>
          <w:b/>
          <w:bCs/>
        </w:rPr>
        <w:t>jackhmmer</w:t>
      </w:r>
      <w:proofErr w:type="spellEnd"/>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w:t>
      </w:r>
      <w:proofErr w:type="spellStart"/>
      <w:r w:rsidR="008C37DE">
        <w:t>kmeans</w:t>
      </w:r>
      <w:proofErr w:type="spellEnd"/>
      <w:r w:rsidR="008C37DE">
        <w:t xml:space="preserve">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w:t>
      </w:r>
      <w:proofErr w:type="spellStart"/>
      <w:r w:rsidR="00292E14">
        <w:rPr>
          <w:rFonts w:ascii="Courier New" w:hAnsi="Courier New" w:cs="Courier New"/>
          <w:b/>
          <w:bCs/>
        </w:rPr>
        <w:t>blast_targets</w:t>
      </w:r>
      <w:proofErr w:type="spellEnd"/>
      <w:r w:rsidR="00292E14">
        <w:rPr>
          <w:rFonts w:ascii="Courier New" w:hAnsi="Courier New" w:cs="Courier New"/>
          <w:b/>
          <w:bCs/>
        </w:rPr>
        <w:t xml:space="preserve">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 xml:space="preserve">Makeblastdb -in </w:t>
      </w:r>
      <w:proofErr w:type="spellStart"/>
      <w:r w:rsidRPr="00DB5B51">
        <w:rPr>
          <w:rFonts w:ascii="Courier New" w:hAnsi="Courier New" w:cs="Courier New"/>
          <w:b/>
          <w:bCs/>
        </w:rPr>
        <w:t>component_squences.fa</w:t>
      </w:r>
      <w:proofErr w:type="spellEnd"/>
      <w:r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proofErr w:type="spellStart"/>
      <w:r w:rsidRPr="00DB5B51">
        <w:rPr>
          <w:rFonts w:ascii="Courier New" w:hAnsi="Courier New" w:cs="Courier New"/>
          <w:b/>
          <w:bCs/>
          <w:sz w:val="16"/>
          <w:szCs w:val="16"/>
        </w:rPr>
        <w:t>blastp</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db</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blast_targets</w:t>
      </w:r>
      <w:proofErr w:type="spellEnd"/>
      <w:r w:rsidRPr="00DB5B51">
        <w:rPr>
          <w:rFonts w:ascii="Courier New" w:hAnsi="Courier New" w:cs="Courier New"/>
          <w:b/>
          <w:bCs/>
          <w:sz w:val="16"/>
          <w:szCs w:val="16"/>
        </w:rPr>
        <w:t>/chembl_25_targets -query $</w:t>
      </w:r>
      <w:proofErr w:type="spellStart"/>
      <w:r w:rsidRPr="00DB5B51">
        <w:rPr>
          <w:rFonts w:ascii="Courier New" w:hAnsi="Courier New" w:cs="Courier New"/>
          <w:b/>
          <w:bCs/>
          <w:sz w:val="16"/>
          <w:szCs w:val="16"/>
        </w:rPr>
        <w:t>orf</w:t>
      </w:r>
      <w:proofErr w:type="spellEnd"/>
      <w:r w:rsidRPr="00DB5B51">
        <w:rPr>
          <w:rFonts w:ascii="Courier New" w:hAnsi="Courier New" w:cs="Courier New"/>
          <w:b/>
          <w:bCs/>
          <w:sz w:val="16"/>
          <w:szCs w:val="16"/>
        </w:rPr>
        <w:t xml:space="preserve"> -</w:t>
      </w:r>
      <w:proofErr w:type="spellStart"/>
      <w:r w:rsidRPr="00DB5B51">
        <w:rPr>
          <w:rFonts w:ascii="Courier New" w:hAnsi="Courier New" w:cs="Courier New"/>
          <w:b/>
          <w:bCs/>
          <w:sz w:val="16"/>
          <w:szCs w:val="16"/>
        </w:rPr>
        <w:t>num_alignments</w:t>
      </w:r>
      <w:proofErr w:type="spellEnd"/>
      <w:r w:rsidRPr="00DB5B51">
        <w:rPr>
          <w:rFonts w:ascii="Courier New" w:hAnsi="Courier New" w:cs="Courier New"/>
          <w:b/>
          <w:bCs/>
          <w:sz w:val="16"/>
          <w:szCs w:val="16"/>
        </w:rPr>
        <w:t xml:space="preserve">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w:t>
      </w:r>
      <w:proofErr w:type="spellStart"/>
      <w:r>
        <w:rPr>
          <w:rFonts w:cstheme="minorHAnsi"/>
        </w:rPr>
        <w:t>orf</w:t>
      </w:r>
      <w:proofErr w:type="spellEnd"/>
      <w:r>
        <w:rPr>
          <w:rFonts w:cstheme="minorHAnsi"/>
        </w:rPr>
        <w:t xml:space="preserve">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proofErr w:type="spellStart"/>
      <w:r>
        <w:rPr>
          <w:rFonts w:cstheme="minorHAnsi"/>
        </w:rPr>
        <w:t>num_alignments</w:t>
      </w:r>
      <w:proofErr w:type="spellEnd"/>
      <w:r>
        <w:rPr>
          <w:rFonts w:cstheme="minorHAnsi"/>
        </w:rPr>
        <w:t xml:space="preserve">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proofErr w:type="spellStart"/>
      <w:r w:rsidR="00DB3710">
        <w:rPr>
          <w:i/>
          <w:iCs/>
        </w:rPr>
        <w:t>blastp.txt.stats</w:t>
      </w:r>
      <w:proofErr w:type="spell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proofErr w:type="spellStart"/>
      <w:r>
        <w:rPr>
          <w:b/>
          <w:bCs/>
        </w:rPr>
        <w:t>do_all_jackhmmer</w:t>
      </w:r>
      <w:proofErr w:type="spellEnd"/>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proofErr w:type="spellStart"/>
      <w:r w:rsidR="00806515">
        <w:rPr>
          <w:b/>
          <w:bCs/>
        </w:rPr>
        <w:t>jackhmmer</w:t>
      </w:r>
      <w:proofErr w:type="spellEnd"/>
      <w:r w:rsidR="00806515">
        <w:rPr>
          <w:b/>
          <w:bCs/>
        </w:rPr>
        <w:t xml:space="preserve">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 xml:space="preserve">7.3.5. </w:t>
      </w:r>
      <w:proofErr w:type="spellStart"/>
      <w:r w:rsidR="00806515">
        <w:t>import_hmmer_statistics.sql</w:t>
      </w:r>
      <w:proofErr w:type="spellEnd"/>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proofErr w:type="spellStart"/>
      <w:r w:rsidR="00806515">
        <w:rPr>
          <w:rFonts w:ascii="Lucida Console" w:hAnsi="Lucida Console" w:cs="Lucida Console"/>
          <w:sz w:val="18"/>
          <w:szCs w:val="18"/>
        </w:rPr>
        <w:t>create_hmmer_stats_tbls.sql</w:t>
      </w:r>
      <w:proofErr w:type="spellEnd"/>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b.target,b.score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blast_score</w:t>
      </w:r>
      <w:proofErr w:type="spellEnd"/>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h.score</w:t>
      </w:r>
      <w:proofErr w:type="spellEnd"/>
      <w:r>
        <w:rPr>
          <w:rFonts w:ascii="Courier New" w:hAnsi="Courier New" w:cs="Courier New"/>
          <w:sz w:val="16"/>
          <w:szCs w:val="16"/>
        </w:rPr>
        <w:t xml:space="preserve"> as </w:t>
      </w:r>
      <w:proofErr w:type="spellStart"/>
      <w:r>
        <w:rPr>
          <w:rFonts w:ascii="Courier New" w:hAnsi="Courier New" w:cs="Courier New"/>
          <w:sz w:val="16"/>
          <w:szCs w:val="16"/>
        </w:rPr>
        <w:t>hmmer_score</w:t>
      </w:r>
      <w:proofErr w:type="spellEnd"/>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b.expect</w:t>
      </w:r>
      <w:proofErr w:type="spellEnd"/>
      <w:r>
        <w:rPr>
          <w:rFonts w:ascii="Courier New" w:hAnsi="Courier New" w:cs="Courier New"/>
          <w:sz w:val="16"/>
          <w:szCs w:val="16"/>
        </w:rPr>
        <w:t xml:space="preserve"> as </w:t>
      </w:r>
      <w:proofErr w:type="spellStart"/>
      <w:r>
        <w:rPr>
          <w:rFonts w:ascii="Courier New" w:hAnsi="Courier New" w:cs="Courier New"/>
          <w:sz w:val="16"/>
          <w:szCs w:val="16"/>
        </w:rPr>
        <w:t>blast_expect</w:t>
      </w:r>
      <w:proofErr w:type="spellEnd"/>
      <w:r>
        <w:rPr>
          <w:rFonts w:ascii="Courier New" w:hAnsi="Courier New" w:cs="Courier New"/>
          <w:sz w:val="16"/>
          <w:szCs w:val="16"/>
        </w:rPr>
        <w:t xml:space="preserve">, </w:t>
      </w:r>
      <w:proofErr w:type="spellStart"/>
      <w:r>
        <w:rPr>
          <w:rFonts w:ascii="Courier New" w:hAnsi="Courier New" w:cs="Courier New"/>
          <w:sz w:val="16"/>
          <w:szCs w:val="16"/>
        </w:rPr>
        <w:t>h.evalue</w:t>
      </w:r>
      <w:proofErr w:type="spellEnd"/>
      <w:r>
        <w:rPr>
          <w:rFonts w:ascii="Courier New" w:hAnsi="Courier New" w:cs="Courier New"/>
          <w:sz w:val="16"/>
          <w:szCs w:val="16"/>
        </w:rPr>
        <w:t xml:space="preserv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w:t>
      </w:r>
      <w:proofErr w:type="spellStart"/>
      <w:r>
        <w:rPr>
          <w:rFonts w:ascii="Courier New" w:hAnsi="Courier New" w:cs="Courier New"/>
          <w:sz w:val="16"/>
          <w:szCs w:val="16"/>
        </w:rPr>
        <w:t>hmmer_statistics</w:t>
      </w:r>
      <w:proofErr w:type="spellEnd"/>
      <w:r>
        <w:rPr>
          <w:rFonts w:ascii="Courier New" w:hAnsi="Courier New" w:cs="Courier New"/>
          <w:sz w:val="16"/>
          <w:szCs w:val="16"/>
        </w:rPr>
        <w:t xml:space="preserve">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w:t>
      </w:r>
      <w:proofErr w:type="spellStart"/>
      <w:r>
        <w:rPr>
          <w:rFonts w:ascii="Courier New" w:hAnsi="Courier New" w:cs="Courier New"/>
          <w:sz w:val="16"/>
          <w:szCs w:val="16"/>
        </w:rPr>
        <w:t>b.orf_id</w:t>
      </w:r>
      <w:proofErr w:type="spellEnd"/>
      <w:r>
        <w:rPr>
          <w:rFonts w:ascii="Courier New" w:hAnsi="Courier New" w:cs="Courier New"/>
          <w:sz w:val="16"/>
          <w:szCs w:val="16"/>
        </w:rPr>
        <w:t xml:space="preserve"> = </w:t>
      </w:r>
      <w:proofErr w:type="spellStart"/>
      <w:r>
        <w:rPr>
          <w:rFonts w:ascii="Courier New" w:hAnsi="Courier New" w:cs="Courier New"/>
          <w:sz w:val="16"/>
          <w:szCs w:val="16"/>
        </w:rPr>
        <w:t>h.orf</w:t>
      </w:r>
      <w:proofErr w:type="spellEnd"/>
      <w:r>
        <w:rPr>
          <w:rFonts w:ascii="Courier New" w:hAnsi="Courier New" w:cs="Courier New"/>
          <w:sz w:val="16"/>
          <w:szCs w:val="16"/>
        </w:rPr>
        <w:t xml:space="preserve"> and </w:t>
      </w:r>
      <w:proofErr w:type="spellStart"/>
      <w:r>
        <w:rPr>
          <w:rFonts w:ascii="Courier New" w:hAnsi="Courier New" w:cs="Courier New"/>
          <w:sz w:val="16"/>
          <w:szCs w:val="16"/>
        </w:rPr>
        <w:t>b.target</w:t>
      </w:r>
      <w:proofErr w:type="spellEnd"/>
      <w:r>
        <w:rPr>
          <w:rFonts w:ascii="Courier New" w:hAnsi="Courier New" w:cs="Courier New"/>
          <w:sz w:val="16"/>
          <w:szCs w:val="16"/>
        </w:rPr>
        <w:t xml:space="preserve"> = </w:t>
      </w:r>
      <w:proofErr w:type="spellStart"/>
      <w:r>
        <w:rPr>
          <w:rFonts w:ascii="Courier New" w:hAnsi="Courier New" w:cs="Courier New"/>
          <w:sz w:val="16"/>
          <w:szCs w:val="16"/>
        </w:rPr>
        <w:t>h.target</w:t>
      </w:r>
      <w:proofErr w:type="spellEnd"/>
      <w:r>
        <w:rPr>
          <w:rFonts w:ascii="Courier New" w:hAnsi="Courier New" w:cs="Courier New"/>
          <w:sz w:val="16"/>
          <w:szCs w:val="16"/>
        </w:rPr>
        <w: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bookmarkStart w:id="0" w:name="_GoBack"/>
      <w:bookmarkEnd w:id="0"/>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proofErr w:type="spellStart"/>
      <w:r w:rsidR="008B5D91">
        <w:rPr>
          <w:b/>
          <w:bCs/>
        </w:rPr>
        <w:t>jackhmmer</w:t>
      </w:r>
      <w:proofErr w:type="spellEnd"/>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r w:rsidR="006103BA">
        <w:rPr>
          <w:i/>
          <w:iCs/>
        </w:rPr>
        <w:t>hmmer</w:t>
      </w:r>
      <w:proofErr w:type="spellEnd"/>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284333ED" w:rsidR="005B6846" w:rsidRPr="003C70AC"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proofErr w:type="spellStart"/>
      <w:r w:rsidR="003C70AC">
        <w:rPr>
          <w:b/>
          <w:bCs/>
        </w:rPr>
        <w:t>kmeans</w:t>
      </w:r>
      <w:proofErr w:type="spellEnd"/>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rsidRPr="00F85566">
        <w:rPr>
          <w:b/>
          <w:bCs/>
        </w:rP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dm.molregno</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P_falciparum_hmmer_drugs.xslx</w:t>
      </w:r>
      <w:proofErr w:type="spell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P_falciparum_hmmer_drugs_annotated.xslx</w:t>
      </w:r>
      <w:proofErr w:type="spell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78A7DD70" w:rsidR="009F6856" w:rsidRDefault="009F6856" w:rsidP="001D448F">
      <w:r>
        <w:t xml:space="preserve">102 drugs are anti-bacterial.  Of these, </w:t>
      </w:r>
      <w:r w:rsidR="00FF4EF4">
        <w:t>41 are Bacterial 70S ribosome inhibitors; the rest are Bacterial penicillin-binding protein inhibitors.</w:t>
      </w:r>
    </w:p>
    <w:p w14:paraId="5AE7199B" w14:textId="77777777" w:rsidR="00FF4EF4" w:rsidRDefault="00FF4EF4" w:rsidP="001D448F"/>
    <w:p w14:paraId="6722465A" w14:textId="77777777" w:rsidR="00ED5F43" w:rsidRDefault="00ED5F43" w:rsidP="001D448F"/>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2FD8EECA" w14:textId="77777777" w:rsidR="004E2C3A" w:rsidRPr="004E2C3A" w:rsidRDefault="00553505" w:rsidP="004E2C3A">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4E2C3A" w:rsidRPr="004E2C3A">
        <w:rPr>
          <w:rFonts w:ascii="Calibri" w:hAnsi="Calibri" w:cs="Calibri"/>
        </w:rPr>
        <w:t>[1]</w:t>
      </w:r>
      <w:r w:rsidR="004E2C3A" w:rsidRPr="004E2C3A">
        <w:rPr>
          <w:rFonts w:ascii="Calibri" w:hAnsi="Calibri" w:cs="Calibri"/>
        </w:rPr>
        <w:tab/>
        <w:t xml:space="preserve">“WHO | World Health Organization,” </w:t>
      </w:r>
      <w:r w:rsidR="004E2C3A" w:rsidRPr="004E2C3A">
        <w:rPr>
          <w:rFonts w:ascii="Calibri" w:hAnsi="Calibri" w:cs="Calibri"/>
          <w:i/>
          <w:iCs/>
        </w:rPr>
        <w:t>WHO</w:t>
      </w:r>
      <w:r w:rsidR="004E2C3A" w:rsidRPr="004E2C3A">
        <w:rPr>
          <w:rFonts w:ascii="Calibri" w:hAnsi="Calibri" w:cs="Calibri"/>
        </w:rPr>
        <w:t>. [Online]. Available: http://www.who.int/neglected_diseases/diseases/en/. [Accessed: 12-Feb-2020].</w:t>
      </w:r>
    </w:p>
    <w:p w14:paraId="304D900E" w14:textId="77777777" w:rsidR="004E2C3A" w:rsidRPr="004E2C3A" w:rsidRDefault="004E2C3A" w:rsidP="004E2C3A">
      <w:pPr>
        <w:pStyle w:val="Bibliography"/>
        <w:rPr>
          <w:rFonts w:ascii="Calibri" w:hAnsi="Calibri" w:cs="Calibri"/>
        </w:rPr>
      </w:pPr>
      <w:r w:rsidRPr="004E2C3A">
        <w:rPr>
          <w:rFonts w:ascii="Calibri" w:hAnsi="Calibri" w:cs="Calibri"/>
        </w:rPr>
        <w:t>[2]</w:t>
      </w:r>
      <w:r w:rsidRPr="004E2C3A">
        <w:rPr>
          <w:rFonts w:ascii="Calibri" w:hAnsi="Calibri" w:cs="Calibri"/>
        </w:rPr>
        <w:tab/>
        <w:t xml:space="preserve">A. Gaulton </w:t>
      </w:r>
      <w:r w:rsidRPr="004E2C3A">
        <w:rPr>
          <w:rFonts w:ascii="Calibri" w:hAnsi="Calibri" w:cs="Calibri"/>
          <w:i/>
          <w:iCs/>
        </w:rPr>
        <w:t>et al.</w:t>
      </w:r>
      <w:r w:rsidRPr="004E2C3A">
        <w:rPr>
          <w:rFonts w:ascii="Calibri" w:hAnsi="Calibri" w:cs="Calibri"/>
        </w:rPr>
        <w:t xml:space="preserve">, “The ChEMBL database in 2017,” </w:t>
      </w:r>
      <w:r w:rsidRPr="004E2C3A">
        <w:rPr>
          <w:rFonts w:ascii="Calibri" w:hAnsi="Calibri" w:cs="Calibri"/>
          <w:i/>
          <w:iCs/>
        </w:rPr>
        <w:t>Nucleic Acids Res.</w:t>
      </w:r>
      <w:r w:rsidRPr="004E2C3A">
        <w:rPr>
          <w:rFonts w:ascii="Calibri" w:hAnsi="Calibri" w:cs="Calibri"/>
        </w:rPr>
        <w:t>, vol. 45, no. D1, pp. D945–D954, Jan. 2017, doi: 10.1093/nar/gkw1074.</w:t>
      </w:r>
    </w:p>
    <w:p w14:paraId="2A9C264E" w14:textId="77777777" w:rsidR="004E2C3A" w:rsidRPr="004E2C3A" w:rsidRDefault="004E2C3A" w:rsidP="004E2C3A">
      <w:pPr>
        <w:pStyle w:val="Bibliography"/>
        <w:rPr>
          <w:rFonts w:ascii="Calibri" w:hAnsi="Calibri" w:cs="Calibri"/>
        </w:rPr>
      </w:pPr>
      <w:r w:rsidRPr="004E2C3A">
        <w:rPr>
          <w:rFonts w:ascii="Calibri" w:hAnsi="Calibri" w:cs="Calibri"/>
        </w:rPr>
        <w:t>[3]</w:t>
      </w:r>
      <w:r w:rsidRPr="004E2C3A">
        <w:rPr>
          <w:rFonts w:ascii="Calibri" w:hAnsi="Calibri" w:cs="Calibri"/>
        </w:rPr>
        <w:tab/>
        <w:t xml:space="preserve">S. F. Altschul </w:t>
      </w:r>
      <w:r w:rsidRPr="004E2C3A">
        <w:rPr>
          <w:rFonts w:ascii="Calibri" w:hAnsi="Calibri" w:cs="Calibri"/>
          <w:i/>
          <w:iCs/>
        </w:rPr>
        <w:t>et al.</w:t>
      </w:r>
      <w:r w:rsidRPr="004E2C3A">
        <w:rPr>
          <w:rFonts w:ascii="Calibri" w:hAnsi="Calibri" w:cs="Calibri"/>
        </w:rPr>
        <w:t xml:space="preserve">, “Gapped BLAST and PSI-BLAST: a new generation of protein database search programs,” </w:t>
      </w:r>
      <w:r w:rsidRPr="004E2C3A">
        <w:rPr>
          <w:rFonts w:ascii="Calibri" w:hAnsi="Calibri" w:cs="Calibri"/>
          <w:i/>
          <w:iCs/>
        </w:rPr>
        <w:t>Nucleic Acids Res.</w:t>
      </w:r>
      <w:r w:rsidRPr="004E2C3A">
        <w:rPr>
          <w:rFonts w:ascii="Calibri" w:hAnsi="Calibri" w:cs="Calibri"/>
        </w:rPr>
        <w:t>, vol. 25, no. 17, pp. 3389–3402, Sep. 1997, doi: 10.1093/nar/25.17.3389.</w:t>
      </w:r>
    </w:p>
    <w:p w14:paraId="4376412C" w14:textId="77777777" w:rsidR="004E2C3A" w:rsidRPr="004E2C3A" w:rsidRDefault="004E2C3A" w:rsidP="004E2C3A">
      <w:pPr>
        <w:pStyle w:val="Bibliography"/>
        <w:rPr>
          <w:rFonts w:ascii="Calibri" w:hAnsi="Calibri" w:cs="Calibri"/>
        </w:rPr>
      </w:pPr>
      <w:r w:rsidRPr="004E2C3A">
        <w:rPr>
          <w:rFonts w:ascii="Calibri" w:hAnsi="Calibri" w:cs="Calibri"/>
        </w:rPr>
        <w:t>[4]</w:t>
      </w:r>
      <w:r w:rsidRPr="004E2C3A">
        <w:rPr>
          <w:rFonts w:ascii="Calibri" w:hAnsi="Calibri" w:cs="Calibri"/>
        </w:rPr>
        <w:tab/>
        <w:t xml:space="preserve">T. J. Wheeler and S. R. Eddy, “nhmmer: DNA homology search with profile HMMs,” </w:t>
      </w:r>
      <w:r w:rsidRPr="004E2C3A">
        <w:rPr>
          <w:rFonts w:ascii="Calibri" w:hAnsi="Calibri" w:cs="Calibri"/>
          <w:i/>
          <w:iCs/>
        </w:rPr>
        <w:t>Bioinformatics</w:t>
      </w:r>
      <w:r w:rsidRPr="004E2C3A">
        <w:rPr>
          <w:rFonts w:ascii="Calibri" w:hAnsi="Calibri" w:cs="Calibri"/>
        </w:rPr>
        <w:t>, vol. 29, no. 19, pp. 2487–2489, Oct. 2013, doi: 10.1093/bioinformatics/btt403.</w:t>
      </w:r>
    </w:p>
    <w:p w14:paraId="2AAF0FB9" w14:textId="77777777" w:rsidR="004E2C3A" w:rsidRPr="004E2C3A" w:rsidRDefault="004E2C3A" w:rsidP="004E2C3A">
      <w:pPr>
        <w:pStyle w:val="Bibliography"/>
        <w:rPr>
          <w:rFonts w:ascii="Calibri" w:hAnsi="Calibri" w:cs="Calibri"/>
        </w:rPr>
      </w:pPr>
      <w:r w:rsidRPr="004E2C3A">
        <w:rPr>
          <w:rFonts w:ascii="Calibri" w:hAnsi="Calibri" w:cs="Calibri"/>
        </w:rPr>
        <w:t>[5]</w:t>
      </w:r>
      <w:r w:rsidRPr="004E2C3A">
        <w:rPr>
          <w:rFonts w:ascii="Calibri" w:hAnsi="Calibri" w:cs="Calibri"/>
        </w:rPr>
        <w:tab/>
        <w:t>“World malaria report 2019.” [Online]. Available: https://www.who.int/news-room/feature-stories/detail/world-malaria-report-2019. [Accessed: 12-Feb-2020].</w:t>
      </w:r>
    </w:p>
    <w:p w14:paraId="18FB04C6" w14:textId="77777777" w:rsidR="004E2C3A" w:rsidRPr="004E2C3A" w:rsidRDefault="004E2C3A" w:rsidP="004E2C3A">
      <w:pPr>
        <w:pStyle w:val="Bibliography"/>
        <w:rPr>
          <w:rFonts w:ascii="Calibri" w:hAnsi="Calibri" w:cs="Calibri"/>
        </w:rPr>
      </w:pPr>
      <w:r w:rsidRPr="004E2C3A">
        <w:rPr>
          <w:rFonts w:ascii="Calibri" w:hAnsi="Calibri" w:cs="Calibri"/>
        </w:rPr>
        <w:t>[6]</w:t>
      </w:r>
      <w:r w:rsidRPr="004E2C3A">
        <w:rPr>
          <w:rFonts w:ascii="Calibri" w:hAnsi="Calibri" w:cs="Calibri"/>
        </w:rPr>
        <w:tab/>
        <w:t xml:space="preserve">M. A. Khan, R. A. Smego, S. T. Razi, and M. A. Beg, “Emerging drug--resistance and guidelines for treatment of malaria,” </w:t>
      </w:r>
      <w:r w:rsidRPr="004E2C3A">
        <w:rPr>
          <w:rFonts w:ascii="Calibri" w:hAnsi="Calibri" w:cs="Calibri"/>
          <w:i/>
          <w:iCs/>
        </w:rPr>
        <w:t>J. Coll. Physicians Surg.--Pak. JCPSP</w:t>
      </w:r>
      <w:r w:rsidRPr="004E2C3A">
        <w:rPr>
          <w:rFonts w:ascii="Calibri" w:hAnsi="Calibri" w:cs="Calibri"/>
        </w:rPr>
        <w:t>, vol. 14, no. 5, pp. 319–324, May 2004, doi: 05.2004/JCPSP.319324.</w:t>
      </w:r>
    </w:p>
    <w:p w14:paraId="70F2EE3A" w14:textId="77777777" w:rsidR="004E2C3A" w:rsidRPr="004E2C3A" w:rsidRDefault="004E2C3A" w:rsidP="004E2C3A">
      <w:pPr>
        <w:pStyle w:val="Bibliography"/>
        <w:rPr>
          <w:rFonts w:ascii="Calibri" w:hAnsi="Calibri" w:cs="Calibri"/>
        </w:rPr>
      </w:pPr>
      <w:r w:rsidRPr="004E2C3A">
        <w:rPr>
          <w:rFonts w:ascii="Calibri" w:hAnsi="Calibri" w:cs="Calibri"/>
        </w:rPr>
        <w:t>[7]</w:t>
      </w:r>
      <w:r w:rsidRPr="004E2C3A">
        <w:rPr>
          <w:rFonts w:ascii="Calibri" w:hAnsi="Calibri" w:cs="Calibri"/>
        </w:rPr>
        <w:tab/>
        <w:t xml:space="preserve">“WHO | Responding to antimalarial drug resistance,” </w:t>
      </w:r>
      <w:r w:rsidRPr="004E2C3A">
        <w:rPr>
          <w:rFonts w:ascii="Calibri" w:hAnsi="Calibri" w:cs="Calibri"/>
          <w:i/>
          <w:iCs/>
        </w:rPr>
        <w:t>WHO</w:t>
      </w:r>
      <w:r w:rsidRPr="004E2C3A">
        <w:rPr>
          <w:rFonts w:ascii="Calibri" w:hAnsi="Calibri" w:cs="Calibri"/>
        </w:rPr>
        <w:t>. [Online]. Available: http://www.who.int/malaria/areas/drug_resistance/overview/en/. [Accessed: 12-Feb-2020].</w:t>
      </w:r>
    </w:p>
    <w:p w14:paraId="32AA2028" w14:textId="77777777" w:rsidR="004E2C3A" w:rsidRPr="004E2C3A" w:rsidRDefault="004E2C3A" w:rsidP="004E2C3A">
      <w:pPr>
        <w:pStyle w:val="Bibliography"/>
        <w:rPr>
          <w:rFonts w:ascii="Calibri" w:hAnsi="Calibri" w:cs="Calibri"/>
        </w:rPr>
      </w:pPr>
      <w:r w:rsidRPr="004E2C3A">
        <w:rPr>
          <w:rFonts w:ascii="Calibri" w:hAnsi="Calibri" w:cs="Calibri"/>
        </w:rPr>
        <w:t>[8]</w:t>
      </w:r>
      <w:r w:rsidRPr="004E2C3A">
        <w:rPr>
          <w:rFonts w:ascii="Calibri" w:hAnsi="Calibri" w:cs="Calibri"/>
        </w:rPr>
        <w:tab/>
        <w:t xml:space="preserve">C. Aurrecoechea </w:t>
      </w:r>
      <w:r w:rsidRPr="004E2C3A">
        <w:rPr>
          <w:rFonts w:ascii="Calibri" w:hAnsi="Calibri" w:cs="Calibri"/>
          <w:i/>
          <w:iCs/>
        </w:rPr>
        <w:t>et al.</w:t>
      </w:r>
      <w:r w:rsidRPr="004E2C3A">
        <w:rPr>
          <w:rFonts w:ascii="Calibri" w:hAnsi="Calibri" w:cs="Calibri"/>
        </w:rPr>
        <w:t xml:space="preserve">, “PlasmoDB: a functional genomic database for malaria parasites,” </w:t>
      </w:r>
      <w:r w:rsidRPr="004E2C3A">
        <w:rPr>
          <w:rFonts w:ascii="Calibri" w:hAnsi="Calibri" w:cs="Calibri"/>
          <w:i/>
          <w:iCs/>
        </w:rPr>
        <w:t>Nucleic Acids Res.</w:t>
      </w:r>
      <w:r w:rsidRPr="004E2C3A">
        <w:rPr>
          <w:rFonts w:ascii="Calibri" w:hAnsi="Calibri" w:cs="Calibri"/>
        </w:rPr>
        <w:t>, vol. 37, no. Database issue, pp. D539-543, Jan. 2009, doi: 10.1093/nar/gkn814.</w:t>
      </w:r>
    </w:p>
    <w:p w14:paraId="43A06663" w14:textId="77777777" w:rsidR="004E2C3A" w:rsidRPr="004E2C3A" w:rsidRDefault="004E2C3A" w:rsidP="004E2C3A">
      <w:pPr>
        <w:pStyle w:val="Bibliography"/>
        <w:rPr>
          <w:rFonts w:ascii="Calibri" w:hAnsi="Calibri" w:cs="Calibri"/>
        </w:rPr>
      </w:pPr>
      <w:r w:rsidRPr="004E2C3A">
        <w:rPr>
          <w:rFonts w:ascii="Calibri" w:hAnsi="Calibri" w:cs="Calibri"/>
        </w:rPr>
        <w:t>[9]</w:t>
      </w:r>
      <w:r w:rsidRPr="004E2C3A">
        <w:rPr>
          <w:rFonts w:ascii="Calibri" w:hAnsi="Calibri" w:cs="Calibri"/>
        </w:rPr>
        <w:tab/>
        <w:t>“PlasmoDB Download Files.” [Online]. Available: https://plasmodb.org/common/downloads/Current_Release/Pfalciparum3D7/fasta/data/. [Accessed: 12-Feb-2020].</w:t>
      </w:r>
    </w:p>
    <w:p w14:paraId="7B84C538" w14:textId="77777777" w:rsidR="004E2C3A" w:rsidRPr="004E2C3A" w:rsidRDefault="004E2C3A" w:rsidP="004E2C3A">
      <w:pPr>
        <w:pStyle w:val="Bibliography"/>
        <w:rPr>
          <w:rFonts w:ascii="Calibri" w:hAnsi="Calibri" w:cs="Calibri"/>
        </w:rPr>
      </w:pPr>
      <w:r w:rsidRPr="004E2C3A">
        <w:rPr>
          <w:rFonts w:ascii="Calibri" w:hAnsi="Calibri" w:cs="Calibri"/>
        </w:rPr>
        <w:t>[10]</w:t>
      </w:r>
      <w:r w:rsidRPr="004E2C3A">
        <w:rPr>
          <w:rFonts w:ascii="Calibri" w:hAnsi="Calibri" w:cs="Calibri"/>
        </w:rPr>
        <w:tab/>
        <w:t xml:space="preserve">J. Macqueen, “SOME METHODS FOR CLASSIFICATION AND ANALYSIS OF MULTIVARIATE OBSERVATIONS,” </w:t>
      </w:r>
      <w:r w:rsidRPr="004E2C3A">
        <w:rPr>
          <w:rFonts w:ascii="Calibri" w:hAnsi="Calibri" w:cs="Calibri"/>
          <w:i/>
          <w:iCs/>
        </w:rPr>
        <w:t>Multivar. Obs.</w:t>
      </w:r>
      <w:r w:rsidRPr="004E2C3A">
        <w:rPr>
          <w:rFonts w:ascii="Calibri" w:hAnsi="Calibri" w:cs="Calibri"/>
        </w:rPr>
        <w:t>, p. 17.</w:t>
      </w:r>
    </w:p>
    <w:p w14:paraId="2F8EECB5" w14:textId="77777777" w:rsidR="004E2C3A" w:rsidRPr="004E2C3A" w:rsidRDefault="004E2C3A" w:rsidP="004E2C3A">
      <w:pPr>
        <w:pStyle w:val="Bibliography"/>
        <w:rPr>
          <w:rFonts w:ascii="Calibri" w:hAnsi="Calibri" w:cs="Calibri"/>
        </w:rPr>
      </w:pPr>
      <w:r w:rsidRPr="004E2C3A">
        <w:rPr>
          <w:rFonts w:ascii="Calibri" w:hAnsi="Calibri" w:cs="Calibri"/>
        </w:rPr>
        <w:t>[11]</w:t>
      </w:r>
      <w:r w:rsidRPr="004E2C3A">
        <w:rPr>
          <w:rFonts w:ascii="Calibri" w:hAnsi="Calibri" w:cs="Calibri"/>
        </w:rPr>
        <w:tab/>
        <w:t xml:space="preserve">J. A. Hartigan and M. A. Wong, “Algorithm AS 136: A K-Means Clustering Algorithm,” </w:t>
      </w:r>
      <w:r w:rsidRPr="004E2C3A">
        <w:rPr>
          <w:rFonts w:ascii="Calibri" w:hAnsi="Calibri" w:cs="Calibri"/>
          <w:i/>
          <w:iCs/>
        </w:rPr>
        <w:t>J. R. Stat. Soc. Ser. C Appl. Stat.</w:t>
      </w:r>
      <w:r w:rsidRPr="004E2C3A">
        <w:rPr>
          <w:rFonts w:ascii="Calibri" w:hAnsi="Calibri" w:cs="Calibri"/>
        </w:rPr>
        <w:t>, vol. 28, no. 1, pp. 100–108, 1979, doi: 10.2307/2346830.</w:t>
      </w:r>
    </w:p>
    <w:p w14:paraId="191B9CDF" w14:textId="77777777" w:rsidR="004E2C3A" w:rsidRPr="004E2C3A" w:rsidRDefault="004E2C3A" w:rsidP="004E2C3A">
      <w:pPr>
        <w:pStyle w:val="Bibliography"/>
        <w:rPr>
          <w:rFonts w:ascii="Calibri" w:hAnsi="Calibri" w:cs="Calibri"/>
        </w:rPr>
      </w:pPr>
      <w:r w:rsidRPr="004E2C3A">
        <w:rPr>
          <w:rFonts w:ascii="Calibri" w:hAnsi="Calibri" w:cs="Calibri"/>
        </w:rPr>
        <w:t>[12]</w:t>
      </w:r>
      <w:r w:rsidRPr="004E2C3A">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2C0A9960" w14:textId="057F24A9"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6"/>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stats=read.csv(file='../process_plasmodium/blast_statistics.txt',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=stats[</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 xml:space="preserve">=read.csv(file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plot(</w:t>
      </w:r>
      <w:proofErr w:type="spellStart"/>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abline</w:t>
      </w:r>
      <w:proofErr w:type="spell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ABA3C" w14:textId="77777777" w:rsidR="00167A2C" w:rsidRDefault="00167A2C" w:rsidP="00B10A11">
      <w:pPr>
        <w:spacing w:after="0" w:line="240" w:lineRule="auto"/>
      </w:pPr>
      <w:r>
        <w:separator/>
      </w:r>
    </w:p>
  </w:endnote>
  <w:endnote w:type="continuationSeparator" w:id="0">
    <w:p w14:paraId="061AAC8A" w14:textId="77777777" w:rsidR="00167A2C" w:rsidRDefault="00167A2C"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703C63" w:rsidRDefault="00703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703C63" w:rsidRDefault="00703C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703C63" w:rsidRDefault="00703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703C63" w:rsidRDefault="00703C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703C63" w:rsidRDefault="00703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266EE" w14:textId="77777777" w:rsidR="00167A2C" w:rsidRDefault="00167A2C" w:rsidP="00B10A11">
      <w:pPr>
        <w:spacing w:after="0" w:line="240" w:lineRule="auto"/>
      </w:pPr>
      <w:r>
        <w:separator/>
      </w:r>
    </w:p>
  </w:footnote>
  <w:footnote w:type="continuationSeparator" w:id="0">
    <w:p w14:paraId="220B68C0" w14:textId="77777777" w:rsidR="00167A2C" w:rsidRDefault="00167A2C"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703C63" w:rsidRDefault="00703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703C63" w:rsidRDefault="00167A2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703C63">
          <w:rPr>
            <w:color w:val="4472C4" w:themeColor="accent1"/>
          </w:rPr>
          <w:t>Finding Paralog Targets for Neglected Diseases</w:t>
        </w:r>
      </w:sdtContent>
    </w:sdt>
    <w:r w:rsidR="00703C63">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703C63">
          <w:rPr>
            <w:color w:val="4472C4" w:themeColor="accent1"/>
          </w:rPr>
          <w:t>Jeremy Singer</w:t>
        </w:r>
      </w:sdtContent>
    </w:sdt>
  </w:p>
  <w:p w14:paraId="712C3291" w14:textId="77777777" w:rsidR="00703C63" w:rsidRDefault="00703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703C63" w:rsidRDefault="00703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4BA1"/>
    <w:rsid w:val="00315623"/>
    <w:rsid w:val="0032414B"/>
    <w:rsid w:val="00342F89"/>
    <w:rsid w:val="00356329"/>
    <w:rsid w:val="0037611B"/>
    <w:rsid w:val="00383494"/>
    <w:rsid w:val="003873B7"/>
    <w:rsid w:val="00390E6E"/>
    <w:rsid w:val="003C2BE7"/>
    <w:rsid w:val="003C4590"/>
    <w:rsid w:val="003C70AC"/>
    <w:rsid w:val="003D07F4"/>
    <w:rsid w:val="003E0D09"/>
    <w:rsid w:val="003F47FE"/>
    <w:rsid w:val="00401CAB"/>
    <w:rsid w:val="00412DE9"/>
    <w:rsid w:val="00417E0F"/>
    <w:rsid w:val="004456C2"/>
    <w:rsid w:val="00464AD8"/>
    <w:rsid w:val="00464CFD"/>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0C69"/>
    <w:rsid w:val="006D1827"/>
    <w:rsid w:val="006D392F"/>
    <w:rsid w:val="006D4E6C"/>
    <w:rsid w:val="006D501E"/>
    <w:rsid w:val="006D6A49"/>
    <w:rsid w:val="006E01F0"/>
    <w:rsid w:val="00703C63"/>
    <w:rsid w:val="00707AD1"/>
    <w:rsid w:val="00711AF4"/>
    <w:rsid w:val="007325E3"/>
    <w:rsid w:val="0074276E"/>
    <w:rsid w:val="00751008"/>
    <w:rsid w:val="0075163C"/>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219E7"/>
    <w:rsid w:val="00A24088"/>
    <w:rsid w:val="00A2629E"/>
    <w:rsid w:val="00A264F6"/>
    <w:rsid w:val="00A26B98"/>
    <w:rsid w:val="00A34AE8"/>
    <w:rsid w:val="00A42E77"/>
    <w:rsid w:val="00A862E9"/>
    <w:rsid w:val="00A91114"/>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D4D86"/>
    <w:rsid w:val="00E06542"/>
    <w:rsid w:val="00E205D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16F01"/>
    <w:rsid w:val="00F36F3D"/>
    <w:rsid w:val="00F42119"/>
    <w:rsid w:val="00F528B0"/>
    <w:rsid w:val="00F64D04"/>
    <w:rsid w:val="00F8549F"/>
    <w:rsid w:val="00F85566"/>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3AA8"/>
    <w:rsid w:val="00597FDA"/>
    <w:rsid w:val="00603FF9"/>
    <w:rsid w:val="00715F75"/>
    <w:rsid w:val="00724FE0"/>
    <w:rsid w:val="0073534A"/>
    <w:rsid w:val="00752C75"/>
    <w:rsid w:val="007914FE"/>
    <w:rsid w:val="007C04C5"/>
    <w:rsid w:val="007D70EE"/>
    <w:rsid w:val="007E5C56"/>
    <w:rsid w:val="00801B38"/>
    <w:rsid w:val="008A6510"/>
    <w:rsid w:val="008B129C"/>
    <w:rsid w:val="00951BDD"/>
    <w:rsid w:val="009E644C"/>
    <w:rsid w:val="00AA597D"/>
    <w:rsid w:val="00AB6AC3"/>
    <w:rsid w:val="00AC2FBE"/>
    <w:rsid w:val="00AC7E98"/>
    <w:rsid w:val="00BA157A"/>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EE08106B-4FD2-4CC3-98B3-3D286AE4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32</Pages>
  <Words>8036</Words>
  <Characters>45811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53740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141</cp:revision>
  <dcterms:created xsi:type="dcterms:W3CDTF">2020-01-21T17:09:00Z</dcterms:created>
  <dcterms:modified xsi:type="dcterms:W3CDTF">2020-03-03T17:28:00Z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