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680EFBB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r w:rsidR="00005F1E">
        <w:rPr>
          <w:rStyle w:val="FootnoteReference"/>
        </w:rPr>
        <w:footnoteReference w:id="1"/>
      </w:r>
      <w:r>
        <w:t>.</w:t>
      </w:r>
    </w:p>
    <w:p w14:paraId="71616CB2" w14:textId="6028D78A" w:rsidR="00005F1E"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p>
    <w:p w14:paraId="220D8AE0" w14:textId="417ABA84" w:rsidR="00464AD8" w:rsidRDefault="00005F1E" w:rsidP="00EB5DDE">
      <w:pPr>
        <w:spacing w:line="480" w:lineRule="auto"/>
      </w:pPr>
      <w:r>
        <w:rPr>
          <w:noProof/>
        </w:rPr>
        <w:drawing>
          <wp:inline distT="0" distB="0" distL="0" distR="0" wp14:anchorId="4E846892" wp14:editId="1369C196">
            <wp:extent cx="42862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r>
        <w:t xml:space="preserve"> </w:t>
      </w:r>
      <w:r>
        <w:rPr>
          <w:rStyle w:val="FootnoteReference"/>
        </w:rPr>
        <w:footnoteReference w:id="2"/>
      </w:r>
    </w:p>
    <w:p w14:paraId="1C5225DC" w14:textId="43D0144A" w:rsidR="00005F1E" w:rsidRDefault="00005F1E" w:rsidP="00EB5DDE">
      <w:pPr>
        <w:spacing w:line="480" w:lineRule="auto"/>
      </w:pPr>
      <w:r>
        <w:t>This graphical abstract, taken from the article by Dana Klug, et al.</w:t>
      </w:r>
    </w:p>
    <w:p w14:paraId="20A745E2" w14:textId="01727F02" w:rsidR="00D021BF"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p>
    <w:p w14:paraId="207F147C" w14:textId="77777777" w:rsidR="006E01F0" w:rsidRPr="006E01F0" w:rsidRDefault="006E01F0" w:rsidP="00EB5DDE">
      <w:pPr>
        <w:spacing w:line="480" w:lineRule="auto"/>
      </w:pP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3"/>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117BF809" w:rsidR="00F8549F" w:rsidRDefault="00F8549F" w:rsidP="00EB5DDE">
      <w:pPr>
        <w:spacing w:line="480" w:lineRule="auto"/>
      </w:pPr>
      <w:r>
        <w:t>The analysis pipeline uses BLASTP</w:t>
      </w:r>
      <w:r w:rsidR="007325E3">
        <w:t xml:space="preserve"> </w:t>
      </w:r>
      <w:r w:rsidR="009060B2">
        <w:rPr>
          <w:rStyle w:val="FootnoteReference"/>
        </w:rPr>
        <w:footnoteReference w:id="4"/>
      </w:r>
      <w:r>
        <w:t xml:space="preserve"> or HMM</w:t>
      </w:r>
      <w:r w:rsidR="00535448">
        <w:t>ER</w:t>
      </w:r>
      <w:r w:rsidR="00A24088">
        <w:t xml:space="preserve"> </w:t>
      </w:r>
      <w:r w:rsidR="00A24088">
        <w:rPr>
          <w:rStyle w:val="FootnoteReference"/>
        </w:rPr>
        <w:footnoteReference w:id="5"/>
      </w:r>
      <w:r>
        <w:t xml:space="preserve"> to produce similarity reports, parse the results, and upload to supplementary tables in the PostgreSQL database.</w:t>
      </w:r>
    </w:p>
    <w:p w14:paraId="108B0847" w14:textId="14796098" w:rsidR="00207EFF" w:rsidRP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9"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bookmarkStart w:id="1" w:name="_GoBack"/>
      <w:bookmarkEnd w:id="1"/>
      <w:proofErr w:type="gramStart"/>
      <w:r>
        <w:t>doi:10.1016/j.bmcl</w:t>
      </w:r>
      <w:proofErr w:type="gramEnd"/>
      <w:r>
        <w:t>.2016.03.103</w:t>
      </w:r>
      <w:hyperlink r:id="rId10" w:history="1">
        <w:r w:rsidRPr="00E00BDF">
          <w:rPr>
            <w:rStyle w:val="Hyperlink"/>
          </w:rPr>
          <w:t>https://www.ncbi.nlm.nih.go</w:t>
        </w:r>
        <w:r w:rsidRPr="00E00BDF">
          <w:rPr>
            <w:rStyle w:val="Hyperlink"/>
          </w:rPr>
          <w:t>v</w:t>
        </w:r>
        <w:r w:rsidRPr="00E00BDF">
          <w:rPr>
            <w:rStyle w:val="Hyperlink"/>
          </w:rPr>
          <w:t>/pmc/articles/PMC4853260/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1" w:history="1">
        <w:r w:rsidRPr="00E00BDF">
          <w:rPr>
            <w:rStyle w:val="Hyperlink"/>
          </w:rPr>
          <w:t>https://doi.org/10.1093/bioinformatics/btt403</w:t>
        </w:r>
      </w:hyperlink>
    </w:p>
    <w:p w14:paraId="7E0D0402" w14:textId="6A98F648" w:rsidR="00836F88" w:rsidRDefault="00836F88">
      <w:r>
        <w:br w:type="page"/>
      </w:r>
    </w:p>
    <w:p w14:paraId="092D1FAC" w14:textId="2CB5B622" w:rsidR="009C6315" w:rsidRDefault="00836F88" w:rsidP="00836F88">
      <w:pPr>
        <w:pStyle w:val="Heading1"/>
      </w:pPr>
      <w:r>
        <w:lastRenderedPageBreak/>
        <w:t>Appendix:  Scripts</w:t>
      </w:r>
    </w:p>
    <w:p w14:paraId="1C10273B" w14:textId="77777777" w:rsidR="00836F88" w:rsidRPr="00836F88" w:rsidRDefault="00836F88" w:rsidP="00836F88"/>
    <w:sectPr w:rsidR="00836F88" w:rsidRPr="00836F88" w:rsidSect="00B10A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90945" w14:textId="77777777" w:rsidR="006149AC" w:rsidRDefault="006149AC" w:rsidP="00B10A11">
      <w:pPr>
        <w:spacing w:after="0" w:line="240" w:lineRule="auto"/>
      </w:pPr>
      <w:r>
        <w:separator/>
      </w:r>
    </w:p>
  </w:endnote>
  <w:endnote w:type="continuationSeparator" w:id="0">
    <w:p w14:paraId="0F28BFF0" w14:textId="77777777" w:rsidR="006149AC" w:rsidRDefault="006149AC"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C203" w14:textId="77777777" w:rsidR="006149AC" w:rsidRDefault="006149AC" w:rsidP="00B10A11">
      <w:pPr>
        <w:spacing w:after="0" w:line="240" w:lineRule="auto"/>
      </w:pPr>
      <w:r>
        <w:separator/>
      </w:r>
    </w:p>
  </w:footnote>
  <w:footnote w:type="continuationSeparator" w:id="0">
    <w:p w14:paraId="14ECEA8A" w14:textId="77777777" w:rsidR="006149AC" w:rsidRDefault="006149AC"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40388ED4" w14:textId="77777777" w:rsidR="00005F1E" w:rsidRDefault="00005F1E" w:rsidP="00005F1E">
      <w:r>
        <w:rPr>
          <w:rStyle w:val="FootnoteReference"/>
        </w:rPr>
        <w:footnoteRef/>
      </w:r>
      <w:r>
        <w:t xml:space="preserve"> </w:t>
      </w:r>
      <w:r w:rsidRPr="001C132C">
        <w:t>REPURPOSING STRATEGIES FOR TROPICAL DISEASE DRUG</w:t>
      </w:r>
      <w:r>
        <w:t xml:space="preserve"> </w:t>
      </w:r>
      <w:r w:rsidRPr="001C132C">
        <w:t>DISCOVERY</w:t>
      </w:r>
      <w:r>
        <w:t xml:space="preserve"> </w:t>
      </w:r>
      <w:hyperlink r:id="rId2" w:history="1">
        <w:r w:rsidRPr="0062594F">
          <w:rPr>
            <w:rStyle w:val="Hyperlink"/>
          </w:rPr>
          <w:t>https://www.ncbi.nlm.nih.gov/pmc/articles/PMC4853260/</w:t>
        </w:r>
      </w:hyperlink>
    </w:p>
    <w:p w14:paraId="7649AB4F" w14:textId="54CC3441" w:rsidR="00005F1E" w:rsidRDefault="00005F1E">
      <w:pPr>
        <w:pStyle w:val="FootnoteText"/>
      </w:pPr>
    </w:p>
  </w:footnote>
  <w:footnote w:id="3">
    <w:p w14:paraId="15C351F2" w14:textId="46057D8A" w:rsidR="00D021BF" w:rsidRDefault="00D021BF">
      <w:pPr>
        <w:pStyle w:val="FootnoteText"/>
      </w:pPr>
      <w:r>
        <w:rPr>
          <w:rStyle w:val="FootnoteReference"/>
        </w:rPr>
        <w:footnoteRef/>
      </w:r>
      <w:r>
        <w:t xml:space="preserve"> </w:t>
      </w:r>
      <w:proofErr w:type="spellStart"/>
      <w:r w:rsidRPr="00D021BF">
        <w:t>Gaulton</w:t>
      </w:r>
      <w:proofErr w:type="spellEnd"/>
      <w:r w:rsidRPr="00D021BF">
        <w:t xml:space="preserve"> A, Hersey A, </w:t>
      </w:r>
      <w:proofErr w:type="spellStart"/>
      <w:r w:rsidRPr="00D021BF">
        <w:t>Nowotka</w:t>
      </w:r>
      <w:proofErr w:type="spellEnd"/>
      <w:r w:rsidRPr="00D021BF">
        <w:t xml:space="preserve"> M, Bento AP, Chambers J, Mendez D, </w:t>
      </w:r>
      <w:proofErr w:type="spellStart"/>
      <w:r w:rsidRPr="00D021BF">
        <w:t>Mutowo</w:t>
      </w:r>
      <w:proofErr w:type="spellEnd"/>
      <w:r w:rsidRPr="00D021BF">
        <w:t xml:space="preserve"> P, Atkinson F, Bellis LJ, </w:t>
      </w:r>
      <w:proofErr w:type="spellStart"/>
      <w:r w:rsidRPr="00D021BF">
        <w:t>Cibrián-Uhalte</w:t>
      </w:r>
      <w:proofErr w:type="spellEnd"/>
      <w:r w:rsidRPr="00D021BF">
        <w:t xml:space="preserve"> E, Davies M, Dedman N, Karlsson A, </w:t>
      </w:r>
      <w:proofErr w:type="spellStart"/>
      <w:r w:rsidRPr="00D021BF">
        <w:t>Magariños</w:t>
      </w:r>
      <w:proofErr w:type="spellEnd"/>
      <w:r w:rsidRPr="00D021BF">
        <w:t xml:space="preserve"> MP, </w:t>
      </w:r>
      <w:proofErr w:type="spellStart"/>
      <w:r w:rsidRPr="00D021BF">
        <w:t>Overington</w:t>
      </w:r>
      <w:proofErr w:type="spellEnd"/>
      <w:r w:rsidRPr="00D021BF">
        <w:t xml:space="preserve"> JP, </w:t>
      </w:r>
      <w:proofErr w:type="spellStart"/>
      <w:r w:rsidRPr="00D021BF">
        <w:t>Papadatos</w:t>
      </w:r>
      <w:proofErr w:type="spellEnd"/>
      <w:r w:rsidRPr="00D021BF">
        <w:t xml:space="preserve"> G, Smit I, Leach AR. The </w:t>
      </w:r>
      <w:proofErr w:type="spellStart"/>
      <w:r w:rsidRPr="00D021BF">
        <w:t>ChEMBL</w:t>
      </w:r>
      <w:proofErr w:type="spellEnd"/>
      <w:r w:rsidRPr="00D021BF">
        <w:t xml:space="preserve"> database in 2017. Nucleic Acids Res. 2017 45(D1</w:t>
      </w:r>
      <w:proofErr w:type="gramStart"/>
      <w:r w:rsidRPr="00D021BF">
        <w:t>):D</w:t>
      </w:r>
      <w:proofErr w:type="gramEnd"/>
      <w:r w:rsidRPr="00D021BF">
        <w:t>945-D954. DOI: 10.1093/</w:t>
      </w:r>
      <w:proofErr w:type="spellStart"/>
      <w:r w:rsidRPr="00D021BF">
        <w:t>nar</w:t>
      </w:r>
      <w:proofErr w:type="spellEnd"/>
      <w:r w:rsidRPr="00D021BF">
        <w:t>/gkw1074</w:t>
      </w:r>
    </w:p>
    <w:p w14:paraId="5BADF145" w14:textId="77777777" w:rsidR="00D021BF" w:rsidRDefault="00D021BF">
      <w:pPr>
        <w:pStyle w:val="FootnoteText"/>
      </w:pPr>
    </w:p>
  </w:footnote>
  <w:footnote w:id="4">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w:t>
      </w: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2C24BEF0" w14:textId="5F71817B" w:rsidR="009060B2" w:rsidRDefault="009060B2">
      <w:pPr>
        <w:pStyle w:val="FootnoteText"/>
      </w:pPr>
    </w:p>
  </w:footnote>
  <w:footnote w:id="5">
    <w:p w14:paraId="04E9A506" w14:textId="77777777" w:rsidR="00A24088" w:rsidRDefault="00A24088" w:rsidP="00A24088">
      <w:pPr>
        <w:pStyle w:val="FootnoteText"/>
      </w:pPr>
      <w:r>
        <w:rPr>
          <w:rStyle w:val="FootnoteReference"/>
        </w:rPr>
        <w:footnoteRef/>
      </w:r>
      <w:r>
        <w:t xml:space="preserve"> </w:t>
      </w:r>
      <w:proofErr w:type="spellStart"/>
      <w:r>
        <w:t>nhmmer</w:t>
      </w:r>
      <w:proofErr w:type="spellEnd"/>
      <w:r>
        <w:t>: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3" w:history="1">
        <w:r w:rsidRPr="00E00BDF">
          <w:rPr>
            <w:rStyle w:val="Hyperlink"/>
          </w:rPr>
          <w:t>https://doi.org/10.1093/bioinformatics/btt403</w:t>
        </w:r>
      </w:hyperlink>
    </w:p>
    <w:p w14:paraId="4425CACC" w14:textId="77777777" w:rsidR="00A24088" w:rsidRDefault="00A24088" w:rsidP="00A2408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6149AC">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53F3"/>
    <w:rsid w:val="000F556D"/>
    <w:rsid w:val="00113AE3"/>
    <w:rsid w:val="0016204C"/>
    <w:rsid w:val="00183730"/>
    <w:rsid w:val="001C132C"/>
    <w:rsid w:val="001E123E"/>
    <w:rsid w:val="001F002E"/>
    <w:rsid w:val="00207EFF"/>
    <w:rsid w:val="00226D94"/>
    <w:rsid w:val="002D44DE"/>
    <w:rsid w:val="003C4590"/>
    <w:rsid w:val="00464AD8"/>
    <w:rsid w:val="00494017"/>
    <w:rsid w:val="00501772"/>
    <w:rsid w:val="00535448"/>
    <w:rsid w:val="00573A8F"/>
    <w:rsid w:val="006149AC"/>
    <w:rsid w:val="006D6A49"/>
    <w:rsid w:val="006E01F0"/>
    <w:rsid w:val="007325E3"/>
    <w:rsid w:val="0079231F"/>
    <w:rsid w:val="00836F88"/>
    <w:rsid w:val="008B5C54"/>
    <w:rsid w:val="009060B2"/>
    <w:rsid w:val="009C6315"/>
    <w:rsid w:val="00A24088"/>
    <w:rsid w:val="00A26B98"/>
    <w:rsid w:val="00AD20D2"/>
    <w:rsid w:val="00B10A11"/>
    <w:rsid w:val="00B84EB5"/>
    <w:rsid w:val="00BE6F8C"/>
    <w:rsid w:val="00BE7F51"/>
    <w:rsid w:val="00CB0620"/>
    <w:rsid w:val="00CB1E32"/>
    <w:rsid w:val="00CF4ED8"/>
    <w:rsid w:val="00D021BF"/>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bioinformatics/btt40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cbi.nlm.nih.gov/pmc/articles/PMC485326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ho.int/neglected_diseases/diseases/e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93/bioinformatics/btt403" TargetMode="External"/><Relationship Id="rId2" Type="http://schemas.openxmlformats.org/officeDocument/2006/relationships/hyperlink" Target="https://www.ncbi.nlm.nih.gov/pmc/articles/PMC4853260/" TargetMode="External"/><Relationship Id="rId1" Type="http://schemas.openxmlformats.org/officeDocument/2006/relationships/hyperlink" Target="https://www.who.int/neglected_diseases/diseases/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4D072F"/>
    <w:rsid w:val="00715F75"/>
    <w:rsid w:val="007E5C56"/>
    <w:rsid w:val="00AA597D"/>
    <w:rsid w:val="00AC2F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07448-B872-47F4-85CD-C43C4FF7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10</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33</cp:revision>
  <dcterms:created xsi:type="dcterms:W3CDTF">2020-01-21T17:09:00Z</dcterms:created>
  <dcterms:modified xsi:type="dcterms:W3CDTF">2020-02-02T21:40:00Z</dcterms:modified>
</cp:coreProperties>
</file>