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Experiment: Free Trial Screener</w:t>
      </w:r>
    </w:p>
    <w:p w:rsidR="00000000" w:rsidDel="00000000" w:rsidP="00000000" w:rsidRDefault="00000000" w:rsidRPr="00000000">
      <w:pPr>
        <w:contextualSpacing w:val="0"/>
        <w:rPr/>
      </w:pPr>
      <w:r w:rsidDel="00000000" w:rsidR="00000000" w:rsidRPr="00000000">
        <w:rPr>
          <w:rtl w:val="0"/>
        </w:rPr>
        <w:t xml:space="preserve">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pPr>
        <w:contextualSpacing w:val="0"/>
        <w:rPr/>
      </w:pPr>
      <w:r w:rsidDel="00000000" w:rsidR="00000000" w:rsidRPr="00000000">
        <w:rPr>
          <w:rtl w:val="0"/>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r w:rsidDel="00000000" w:rsidR="00000000" w:rsidRPr="00000000">
          <w:rPr>
            <w:color w:val="1155cc"/>
            <w:u w:val="single"/>
            <w:rtl w:val="0"/>
          </w:rPr>
          <w:t xml:space="preserve">This screenshot</w:t>
        </w:r>
      </w:hyperlink>
      <w:r w:rsidDel="00000000" w:rsidR="00000000" w:rsidRPr="00000000">
        <w:rPr>
          <w:rtl w:val="0"/>
        </w:rPr>
        <w:t xml:space="preserve"> shows what the experiment looks like.</w:t>
      </w:r>
    </w:p>
    <w:p w:rsidR="00000000" w:rsidDel="00000000" w:rsidP="00000000" w:rsidRDefault="00000000" w:rsidRPr="00000000">
      <w:pPr>
        <w:contextualSpacing w:val="0"/>
        <w:rPr/>
      </w:pPr>
      <w:r w:rsidDel="00000000" w:rsidR="00000000" w:rsidRPr="00000000">
        <w:rPr>
          <w:rtl w:val="0"/>
        </w:rPr>
        <w:t xml:space="preserve">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000000" w:rsidDel="00000000" w:rsidP="00000000" w:rsidRDefault="00000000" w:rsidRPr="00000000">
      <w:pPr>
        <w:contextualSpacing w:val="0"/>
        <w:rPr/>
      </w:pPr>
      <w:r w:rsidDel="00000000" w:rsidR="00000000" w:rsidRPr="00000000">
        <w:rPr>
          <w:rtl w:val="0"/>
        </w:rPr>
        <w:t xml:space="preserve">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pPr>
        <w:pStyle w:val="Heading1"/>
        <w:contextualSpacing w:val="0"/>
        <w:rPr/>
      </w:pPr>
      <w:r w:rsidDel="00000000" w:rsidR="00000000" w:rsidRPr="00000000">
        <w:rPr>
          <w:rtl w:val="0"/>
        </w:rPr>
        <w:t xml:space="preserve">Experiment Design</w:t>
      </w:r>
    </w:p>
    <w:p w:rsidR="00000000" w:rsidDel="00000000" w:rsidP="00000000" w:rsidRDefault="00000000" w:rsidRPr="00000000">
      <w:pPr>
        <w:pStyle w:val="Heading2"/>
        <w:contextualSpacing w:val="0"/>
        <w:rPr/>
      </w:pPr>
      <w:bookmarkStart w:colFirst="0" w:colLast="0" w:name="_heuxc5xjv2dl" w:id="1"/>
      <w:bookmarkEnd w:id="1"/>
      <w:r w:rsidDel="00000000" w:rsidR="00000000" w:rsidRPr="00000000">
        <w:rPr>
          <w:rtl w:val="0"/>
        </w:rPr>
        <w:t xml:space="preserve">Metric Choice</w:t>
      </w:r>
    </w:p>
    <w:p w:rsidR="00000000" w:rsidDel="00000000" w:rsidP="00000000" w:rsidRDefault="00000000" w:rsidRPr="00000000">
      <w:pPr>
        <w:contextualSpacing w:val="0"/>
        <w:rPr/>
      </w:pPr>
      <w:r w:rsidDel="00000000" w:rsidR="00000000" w:rsidRPr="00000000">
        <w:rPr>
          <w:rtl w:val="0"/>
        </w:rPr>
        <w:t xml:space="preserve">The following table shows the metric choices in this A/B test.</w:t>
      </w:r>
    </w:p>
    <w:tbl>
      <w:tblPr>
        <w:tblStyle w:val="Table1"/>
        <w:tblW w:w="10560.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990"/>
        <w:gridCol w:w="4680"/>
        <w:tblGridChange w:id="0">
          <w:tblGrid>
            <w:gridCol w:w="1890"/>
            <w:gridCol w:w="399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Metric</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Reason</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center"/>
              <w:rPr>
                <w:b w:val="1"/>
              </w:rPr>
            </w:pPr>
            <w:r w:rsidDel="00000000" w:rsidR="00000000" w:rsidRPr="00000000">
              <w:rPr>
                <w:b w:val="1"/>
                <w:rtl w:val="0"/>
              </w:rPr>
              <w:t xml:space="preserve">Invariant Metrics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Number of cookies: that is, number of unique cookies to view the course overview page  </w:t>
            </w: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=3000)</w:t>
            </w:r>
            <w:r w:rsidDel="00000000" w:rsidR="00000000" w:rsidRPr="00000000">
              <w:rPr>
                <w:rtl w:val="0"/>
              </w:rPr>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The trial screen was triggered after students clicking the ‘‘Start free trial’ button, which is after students viewing the course overview page. Therefore, whether the question pops after will not affect the number cookies viewing the course overview page.</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Number of clicks: that is, number of unique cookies to click the ‘Start free trial’ button. </w:t>
            </w: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=240)</w:t>
            </w:r>
            <w:r w:rsidDel="00000000" w:rsidR="00000000" w:rsidRPr="00000000">
              <w:rPr>
                <w:rtl w:val="0"/>
              </w:rPr>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Since the trial screen was triggered after students after students clicking the ‘‘Start free trial’ button, the number of clicks on the button should not change with the experiment.</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Click-through-primality: that is, the number of unique cookies to click the ‘Start free trial’ button divided number of unique cookies to view the course overview page. </w:t>
            </w: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As illustrated before, both of the divisor and dividend are recorded before the screener. Therefore, the fraction could be used as an invariant metric.</w:t>
            </w: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jc w:val="center"/>
              <w:rPr>
                <w:b w:val="1"/>
              </w:rPr>
            </w:pPr>
            <w:r w:rsidDel="00000000" w:rsidR="00000000" w:rsidRPr="00000000">
              <w:rPr>
                <w:b w:val="1"/>
                <w:rtl w:val="0"/>
              </w:rPr>
              <w:t xml:space="preserve">Evaluation metrics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Measure the impact of the screener on free trial completion and payments.</w:t>
            </w:r>
          </w:p>
          <w:p w:rsidR="00000000" w:rsidDel="00000000" w:rsidP="00000000" w:rsidRDefault="00000000" w:rsidRPr="00000000">
            <w:pPr>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Retention: that is, number of user-ids to remain enrolled past the 14-day boundary( and thus make at least one payment) divided by number of user-ids to complete the checkout. </w:t>
            </w: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=0.01)</w:t>
            </w:r>
            <w:r w:rsidDel="00000000" w:rsidR="00000000" w:rsidRPr="00000000">
              <w:rPr>
                <w:rtl w:val="0"/>
              </w:rPr>
              <w:br w:type="textWrapp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Since the experiment is designed to test if the free trial screener would help increase the percentage of students enrolled after checking out, the retention would be a good evaluation metric.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However, this metric is dropped in the final experement, which will be describled in details i later.</w:t>
            </w: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Net conversion: that is, number of user-ids to remain enrolled past the 14-day boundary(and thus make at least one payment) divided by the number of unique cookies to click the ‘Start free trial’ button.  </w:t>
            </w: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 0.0075)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For the similar reason, net conversion can measure the impact on free trial completion.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rPr>
                <w:b w:val="1"/>
              </w:rPr>
            </w:pPr>
            <w:r w:rsidDel="00000000" w:rsidR="00000000" w:rsidRPr="00000000">
              <w:rPr>
                <w:b w:val="1"/>
                <w:rtl w:val="0"/>
              </w:rPr>
              <w:t xml:space="preserve">Evaluation metrics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Measure the impact of the screener on enrollment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Gross conversion: That is, number of user-ids to complete checkout and enroll in the free trial divided by number of unique cookies to click the "Start free trial" button.  </w:t>
            </w: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 0.01)</w:t>
            </w:r>
            <w:r w:rsidDel="00000000" w:rsidR="00000000" w:rsidRPr="00000000">
              <w:rPr>
                <w:rtl w:val="0"/>
              </w:rPr>
              <w:br w:type="textWrapping"/>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Gross conversion tries to measure the percentage of users that check out after clicking the button.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rPr>
                <w:b w:val="1"/>
              </w:rPr>
            </w:pPr>
            <w:r w:rsidDel="00000000" w:rsidR="00000000" w:rsidRPr="00000000">
              <w:rPr>
                <w:b w:val="1"/>
                <w:rtl w:val="0"/>
              </w:rPr>
              <w:t xml:space="preserve">Metrics not useful in this case</w:t>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Number of user-ids: That is, number of users who enroll in the free trial.</w:t>
              <w:br w:type="textWrapping"/>
            </w:r>
          </w:p>
        </w:tc>
        <w:tc>
          <w:tcPr>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Enrolling happening after the trial screening and cannot be used as an invariant metric.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Also it is not ideal for the evaluation metric since number of user-ids is a raw count. A raw count cannot adjust to different sized experiment and control groups and therefore cannot account for the real change of the enrollment rate.</w:t>
            </w:r>
          </w:p>
        </w:tc>
      </w:tr>
    </w:tbl>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table shows the </w:t>
      </w:r>
      <w:r w:rsidDel="00000000" w:rsidR="00000000" w:rsidRPr="00000000">
        <w:rPr>
          <w:rtl w:val="0"/>
        </w:rPr>
        <w:t xml:space="preserve">launch criteria</w:t>
      </w:r>
      <w:r w:rsidDel="00000000" w:rsidR="00000000" w:rsidRPr="00000000">
        <w:rPr>
          <w:rtl w:val="0"/>
        </w:rPr>
        <w:t xml:space="preserve"> in this A/B test.</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605"/>
        <w:gridCol w:w="4785"/>
        <w:tblGridChange w:id="0">
          <w:tblGrid>
            <w:gridCol w:w="2970"/>
            <w:gridCol w:w="1605"/>
            <w:gridCol w:w="4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What to measure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Metric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Launch Criteria</w:t>
            </w:r>
          </w:p>
        </w:tc>
      </w:tr>
      <w:tr>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The impact of the screener on free trial completion and payments.</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Net conversion</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There is </w:t>
            </w:r>
            <w:r w:rsidDel="00000000" w:rsidR="00000000" w:rsidRPr="00000000">
              <w:rPr>
                <w:b w:val="1"/>
                <w:rtl w:val="0"/>
              </w:rPr>
              <w:t xml:space="preserve">NO</w:t>
            </w:r>
            <w:r w:rsidDel="00000000" w:rsidR="00000000" w:rsidRPr="00000000">
              <w:rPr>
                <w:rtl w:val="0"/>
              </w:rPr>
              <w:t xml:space="preserve"> statistically significant </w:t>
            </w:r>
            <w:r w:rsidDel="00000000" w:rsidR="00000000" w:rsidRPr="00000000">
              <w:rPr>
                <w:b w:val="1"/>
                <w:rtl w:val="0"/>
              </w:rPr>
              <w:t xml:space="preserve">decrease</w:t>
            </w:r>
            <w:r w:rsidDel="00000000" w:rsidR="00000000" w:rsidRPr="00000000">
              <w:rPr>
                <w:rtl w:val="0"/>
              </w:rPr>
              <w:t xml:space="preserve"> in net conversion between control group and experiment group.</w:t>
            </w:r>
          </w:p>
        </w:tc>
      </w:tr>
      <w:tr>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The impact of the screener on enrollment</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contextualSpacing w:val="0"/>
              <w:jc w:val="center"/>
              <w:rPr/>
            </w:pPr>
            <w:r w:rsidDel="00000000" w:rsidR="00000000" w:rsidRPr="00000000">
              <w:rPr>
                <w:rtl w:val="0"/>
              </w:rPr>
              <w:t xml:space="preserve">There is a statistically significant </w:t>
            </w:r>
            <w:r w:rsidDel="00000000" w:rsidR="00000000" w:rsidRPr="00000000">
              <w:rPr>
                <w:b w:val="1"/>
                <w:rtl w:val="0"/>
              </w:rPr>
              <w:t xml:space="preserve">decrease</w:t>
            </w:r>
            <w:r w:rsidDel="00000000" w:rsidR="00000000" w:rsidRPr="00000000">
              <w:rPr>
                <w:rtl w:val="0"/>
              </w:rPr>
              <w:t xml:space="preserve"> in net conversion from control group to experiment group.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fob9te" w:id="2"/>
      <w:bookmarkEnd w:id="2"/>
      <w:r w:rsidDel="00000000" w:rsidR="00000000" w:rsidRPr="00000000">
        <w:rPr>
          <w:rtl w:val="0"/>
        </w:rPr>
        <w:t xml:space="preserve">Measuring Standard Deviation</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Analytically computed standard deviation for evaluation metrics: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Retention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0.0549</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Net conversion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0.0156</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0.0202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analytic estimates are accurate?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Indepedence</w:t>
      </w:r>
    </w:p>
    <w:p w:rsidR="00000000" w:rsidDel="00000000" w:rsidP="00000000" w:rsidRDefault="00000000" w:rsidRPr="00000000">
      <w:pPr>
        <w:spacing w:line="240" w:lineRule="auto"/>
        <w:contextualSpacing w:val="0"/>
        <w:rPr/>
      </w:pPr>
      <w:r w:rsidDel="00000000" w:rsidR="00000000" w:rsidRPr="00000000">
        <w:rPr>
          <w:rtl w:val="0"/>
        </w:rPr>
        <w:t xml:space="preserve">When the unit of diversion and unit of analysis are the same, the analytically computed variability is likely to be very close to the empirically computed variability.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In our case: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Unit Of Analysis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rPr>
                <w:b w:val="1"/>
              </w:rPr>
            </w:pPr>
            <w:r w:rsidDel="00000000" w:rsidR="00000000" w:rsidRPr="00000000">
              <w:rPr>
                <w:b w:val="1"/>
                <w:rtl w:val="0"/>
              </w:rPr>
              <w:t xml:space="preserve">Unit Of Diversion</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Retention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cookie</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Net conversion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cookies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cookie</w:t>
            </w:r>
          </w:p>
        </w:tc>
      </w:tr>
      <w:tr>
        <w:tc>
          <w:tcPr>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Gross conversion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cookies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t xml:space="preserve">cookie</w:t>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net conversion and gross conversion, two units are consistent. Therefore, the analytic variance can be used.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retention, we are using the cookie-based diversion but the unit of analysis is user-id. The independence assumption is not valid since we are diverting a subgroup of the unit of analysis. So we want to shift to empirically computed variability.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Normality</w:t>
      </w:r>
    </w:p>
    <w:p w:rsidR="00000000" w:rsidDel="00000000" w:rsidP="00000000" w:rsidRDefault="00000000" w:rsidRPr="00000000">
      <w:pPr>
        <w:contextualSpacing w:val="0"/>
        <w:rPr/>
      </w:pPr>
      <w:r w:rsidDel="00000000" w:rsidR="00000000" w:rsidRPr="00000000">
        <w:rPr>
          <w:rtl w:val="0"/>
        </w:rPr>
        <w:t xml:space="preserve">Since both np and n(1-p) are bigger than 5. A normal distribution assumption would be reasonable. Since all the metrics follow a binomial distribution, they are relatively simple, analytic estimate may be a good option here. The analytic estimate should be comparable to the empirical variability.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we were analyze more complicated metrics, the distribution can be very weird and we may want to shift to an empirical estimate.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znysh7" w:id="3"/>
      <w:bookmarkEnd w:id="3"/>
      <w:r w:rsidDel="00000000" w:rsidR="00000000" w:rsidRPr="00000000">
        <w:rPr>
          <w:rtl w:val="0"/>
        </w:rPr>
        <w:t xml:space="preserve">Sizing</w:t>
      </w:r>
    </w:p>
    <w:p w:rsidR="00000000" w:rsidDel="00000000" w:rsidP="00000000" w:rsidRDefault="00000000" w:rsidRPr="00000000">
      <w:pPr>
        <w:pStyle w:val="Heading3"/>
        <w:contextualSpacing w:val="0"/>
        <w:rPr/>
      </w:pPr>
      <w:bookmarkStart w:colFirst="0" w:colLast="0" w:name="_2et92p0" w:id="4"/>
      <w:bookmarkEnd w:id="4"/>
      <w:r w:rsidDel="00000000" w:rsidR="00000000" w:rsidRPr="00000000">
        <w:rPr>
          <w:rtl w:val="0"/>
        </w:rPr>
        <w:t xml:space="preserve">Number of Samples vs. Power</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An alpha of 0.05 and a beta of 0.2 are used</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Bonferroni correction is</w:t>
      </w:r>
      <w:r w:rsidDel="00000000" w:rsidR="00000000" w:rsidRPr="00000000">
        <w:rPr>
          <w:rtl w:val="0"/>
        </w:rPr>
        <w:t xml:space="preserve"> NOT</w:t>
      </w:r>
      <w:r w:rsidDel="00000000" w:rsidR="00000000" w:rsidRPr="00000000">
        <w:rPr>
          <w:vertAlign w:val="baseline"/>
          <w:rtl w:val="0"/>
        </w:rPr>
        <w:t xml:space="preserve"> used</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Online calculator is used: </w:t>
      </w:r>
      <w:hyperlink r:id="rId6">
        <w:r w:rsidDel="00000000" w:rsidR="00000000" w:rsidRPr="00000000">
          <w:rPr>
            <w:color w:val="1155cc"/>
            <w:u w:val="single"/>
            <w:vertAlign w:val="baseline"/>
            <w:rtl w:val="0"/>
          </w:rPr>
          <w:t xml:space="preserve">http://www.evanmiller.org/ab-testing/sample-size.html</w:t>
        </w:r>
      </w:hyperlink>
      <w:r w:rsidDel="00000000" w:rsidR="00000000" w:rsidRPr="00000000">
        <w:rPr>
          <w:rtl w:val="0"/>
        </w:rPr>
      </w:r>
    </w:p>
    <w:p w:rsidR="00000000" w:rsidDel="00000000" w:rsidP="00000000" w:rsidRDefault="00000000" w:rsidRPr="00000000">
      <w:pPr>
        <w:numPr>
          <w:ilvl w:val="0"/>
          <w:numId w:val="4"/>
        </w:numPr>
        <w:ind w:left="720" w:hanging="360"/>
      </w:pPr>
      <w:r w:rsidDel="00000000" w:rsidR="00000000" w:rsidRPr="00000000">
        <w:rPr>
          <w:rtl w:val="0"/>
        </w:rPr>
        <w:t xml:space="preserve">Retention: d</w:t>
      </w:r>
      <w:r w:rsidDel="00000000" w:rsidR="00000000" w:rsidRPr="00000000">
        <w:rPr>
          <w:vertAlign w:val="subscript"/>
          <w:rtl w:val="0"/>
        </w:rPr>
        <w:t xml:space="preserve">min</w:t>
      </w:r>
      <w:r w:rsidDel="00000000" w:rsidR="00000000" w:rsidRPr="00000000">
        <w:rPr>
          <w:rtl w:val="0"/>
        </w:rPr>
        <w:t xml:space="preserve">=0.01</w:t>
      </w:r>
    </w:p>
    <w:p w:rsidR="00000000" w:rsidDel="00000000" w:rsidP="00000000" w:rsidRDefault="00000000" w:rsidRPr="00000000">
      <w:pPr>
        <w:numPr>
          <w:ilvl w:val="0"/>
          <w:numId w:val="4"/>
        </w:numPr>
        <w:ind w:left="720" w:hanging="360"/>
      </w:pPr>
      <w:r w:rsidDel="00000000" w:rsidR="00000000" w:rsidRPr="00000000">
        <w:rPr>
          <w:rtl w:val="0"/>
        </w:rPr>
        <w:t xml:space="preserve">Net Convention:d</w:t>
      </w:r>
      <w:r w:rsidDel="00000000" w:rsidR="00000000" w:rsidRPr="00000000">
        <w:rPr>
          <w:vertAlign w:val="subscript"/>
          <w:rtl w:val="0"/>
        </w:rPr>
        <w:t xml:space="preserve">min</w:t>
      </w:r>
      <w:r w:rsidDel="00000000" w:rsidR="00000000" w:rsidRPr="00000000">
        <w:rPr>
          <w:rtl w:val="0"/>
        </w:rPr>
        <w:t xml:space="preserve">= 0.0075</w:t>
      </w:r>
    </w:p>
    <w:p w:rsidR="00000000" w:rsidDel="00000000" w:rsidP="00000000" w:rsidRDefault="00000000" w:rsidRPr="00000000">
      <w:pPr>
        <w:numPr>
          <w:ilvl w:val="0"/>
          <w:numId w:val="4"/>
        </w:numPr>
        <w:ind w:left="720" w:hanging="360"/>
      </w:pPr>
      <w:r w:rsidDel="00000000" w:rsidR="00000000" w:rsidRPr="00000000">
        <w:rPr>
          <w:rtl w:val="0"/>
        </w:rPr>
        <w:t xml:space="preserve">Gross conversion: d</w:t>
      </w:r>
      <w:r w:rsidDel="00000000" w:rsidR="00000000" w:rsidRPr="00000000">
        <w:rPr>
          <w:vertAlign w:val="subscript"/>
          <w:rtl w:val="0"/>
        </w:rPr>
        <w:t xml:space="preserve">min</w:t>
      </w:r>
      <w:r w:rsidDel="00000000" w:rsidR="00000000" w:rsidRPr="00000000">
        <w:rPr>
          <w:rtl w:val="0"/>
        </w:rPr>
        <w:t xml:space="preserve">= 0.01</w:t>
      </w:r>
    </w:p>
    <w:p w:rsidR="00000000" w:rsidDel="00000000" w:rsidP="00000000" w:rsidRDefault="00000000" w:rsidRPr="00000000">
      <w:pPr>
        <w:contextualSpacing w:val="0"/>
        <w:rPr>
          <w:color w:val="98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pageviews total (across both groups) needed to collect to adequately power the experiment are:</w:t>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580"/>
        <w:gridCol w:w="2760"/>
        <w:gridCol w:w="2625"/>
        <w:tblGridChange w:id="0">
          <w:tblGrid>
            <w:gridCol w:w="1395"/>
            <w:gridCol w:w="2580"/>
            <w:gridCol w:w="2760"/>
            <w:gridCol w:w="262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Sample size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Retention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Net conversion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Gross conversion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Per variation</w:t>
            </w:r>
          </w:p>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39115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27411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25835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In total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39115 * 2 * 5000/82.5</w:t>
            </w:r>
          </w:p>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 4,741,212</w:t>
            </w:r>
          </w:p>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27411 * 2 * 5000/400</w:t>
            </w:r>
          </w:p>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 685,275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25835 * 2 * 5000/400</w:t>
            </w:r>
          </w:p>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 645,875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4.7 million pageviews would take 119 days, we are going to drop the metric-retention- favoring another metric- net conversion - to measure impact of the screener on free trial completion and payments.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Max(645,875, 685,275)= 685,275</w:t>
      </w:r>
    </w:p>
    <w:p w:rsidR="00000000" w:rsidDel="00000000" w:rsidP="00000000" w:rsidRDefault="00000000" w:rsidRPr="00000000">
      <w:pPr>
        <w:contextualSpacing w:val="0"/>
        <w:rPr/>
      </w:pPr>
      <w:r w:rsidDel="00000000" w:rsidR="00000000" w:rsidRPr="00000000">
        <w:rPr>
          <w:rtl w:val="0"/>
        </w:rPr>
        <w:t xml:space="preserve">We need 685,275 pageviews.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t2hy92mr2j3" w:id="5"/>
      <w:bookmarkEnd w:id="5"/>
      <w:r w:rsidDel="00000000" w:rsidR="00000000" w:rsidRPr="00000000">
        <w:rPr>
          <w:rtl w:val="0"/>
        </w:rPr>
        <w:t xml:space="preserve">Duration vs. Exposure</w:t>
      </w:r>
    </w:p>
    <w:p w:rsidR="00000000" w:rsidDel="00000000" w:rsidP="00000000" w:rsidRDefault="00000000" w:rsidRPr="00000000">
      <w:pPr>
        <w:contextualSpacing w:val="0"/>
        <w:rPr/>
      </w:pPr>
      <w:r w:rsidDel="00000000" w:rsidR="00000000" w:rsidRPr="00000000">
        <w:rPr>
          <w:rtl w:val="0"/>
        </w:rPr>
        <w:t xml:space="preserve">685,275/40,000 = 17.13 </w:t>
      </w:r>
      <m:oMath>
        <m:r>
          <m:t>≈</m:t>
        </m:r>
        <m:r>
          <w:rPr/>
          <m:t xml:space="preserve"> 18</m:t>
        </m:r>
      </m:oMath>
      <w:r w:rsidDel="00000000" w:rsidR="00000000" w:rsidRPr="00000000">
        <w:rPr>
          <w:rtl w:val="0"/>
        </w:rPr>
        <w:t xml:space="preserve"> (days)</w:t>
      </w:r>
    </w:p>
    <w:p w:rsidR="00000000" w:rsidDel="00000000" w:rsidP="00000000" w:rsidRDefault="00000000" w:rsidRPr="00000000">
      <w:pPr>
        <w:contextualSpacing w:val="0"/>
        <w:rPr/>
      </w:pPr>
      <w:r w:rsidDel="00000000" w:rsidR="00000000" w:rsidRPr="00000000">
        <w:rPr>
          <w:rtl w:val="0"/>
        </w:rPr>
        <w:t xml:space="preserve">If 100% of the traffic are diverted to this experiments, we would need 18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case, we think it is okay to divert 100% of the traffic for the following reason:</w:t>
      </w:r>
    </w:p>
    <w:p w:rsidR="00000000" w:rsidDel="00000000" w:rsidP="00000000" w:rsidRDefault="00000000" w:rsidRPr="00000000">
      <w:pPr>
        <w:numPr>
          <w:ilvl w:val="0"/>
          <w:numId w:val="2"/>
        </w:numPr>
        <w:ind w:left="720" w:hanging="360"/>
      </w:pPr>
      <w:r w:rsidDel="00000000" w:rsidR="00000000" w:rsidRPr="00000000">
        <w:rPr>
          <w:rtl w:val="0"/>
        </w:rPr>
        <w:t xml:space="preserve">To save time</w:t>
      </w:r>
    </w:p>
    <w:p w:rsidR="00000000" w:rsidDel="00000000" w:rsidP="00000000" w:rsidRDefault="00000000" w:rsidRPr="00000000">
      <w:pPr>
        <w:numPr>
          <w:ilvl w:val="0"/>
          <w:numId w:val="2"/>
        </w:numPr>
        <w:ind w:left="720" w:hanging="360"/>
      </w:pPr>
      <w:r w:rsidDel="00000000" w:rsidR="00000000" w:rsidRPr="00000000">
        <w:rPr>
          <w:rtl w:val="0"/>
        </w:rPr>
        <w:t xml:space="preserve">There is no indication that other experiment needs to be done during the same period</w:t>
      </w:r>
    </w:p>
    <w:p w:rsidR="00000000" w:rsidDel="00000000" w:rsidP="00000000" w:rsidRDefault="00000000" w:rsidRPr="00000000">
      <w:pPr>
        <w:numPr>
          <w:ilvl w:val="0"/>
          <w:numId w:val="2"/>
        </w:numPr>
        <w:ind w:left="720" w:hanging="360"/>
      </w:pPr>
      <w:r w:rsidDel="00000000" w:rsidR="00000000" w:rsidRPr="00000000">
        <w:rPr>
          <w:rtl w:val="0"/>
        </w:rPr>
        <w:t xml:space="preserve">This experiment does not sensitive information since it is based on cookie.</w:t>
      </w:r>
    </w:p>
    <w:p w:rsidR="00000000" w:rsidDel="00000000" w:rsidP="00000000" w:rsidRDefault="00000000" w:rsidRPr="00000000">
      <w:pPr>
        <w:numPr>
          <w:ilvl w:val="0"/>
          <w:numId w:val="5"/>
        </w:numPr>
        <w:ind w:left="720" w:hanging="360"/>
        <w:rPr/>
      </w:pPr>
      <w:r w:rsidDel="00000000" w:rsidR="00000000" w:rsidRPr="00000000">
        <w:rPr>
          <w:rtl w:val="0"/>
        </w:rPr>
        <w:t xml:space="preserve">The experiment does not harm students since it is only reminder that the course takes time.</w:t>
      </w:r>
    </w:p>
    <w:p w:rsidR="00000000" w:rsidDel="00000000" w:rsidP="00000000" w:rsidRDefault="00000000" w:rsidRPr="00000000">
      <w:pPr>
        <w:pStyle w:val="Heading1"/>
        <w:contextualSpacing w:val="0"/>
        <w:rPr/>
      </w:pPr>
      <w:bookmarkStart w:colFirst="0" w:colLast="0" w:name="_1t3h5sf" w:id="6"/>
      <w:bookmarkEnd w:id="6"/>
      <w:r w:rsidDel="00000000" w:rsidR="00000000" w:rsidRPr="00000000">
        <w:rPr>
          <w:rtl w:val="0"/>
        </w:rPr>
        <w:t xml:space="preserve">Experiment Analysis</w:t>
      </w:r>
    </w:p>
    <w:p w:rsidR="00000000" w:rsidDel="00000000" w:rsidP="00000000" w:rsidRDefault="00000000" w:rsidRPr="00000000">
      <w:pPr>
        <w:pStyle w:val="Heading2"/>
        <w:contextualSpacing w:val="0"/>
        <w:rPr/>
      </w:pPr>
      <w:bookmarkStart w:colFirst="0" w:colLast="0" w:name="_4d34og8" w:id="7"/>
      <w:bookmarkEnd w:id="7"/>
      <w:r w:rsidDel="00000000" w:rsidR="00000000" w:rsidRPr="00000000">
        <w:rPr>
          <w:rtl w:val="0"/>
        </w:rPr>
        <w:t xml:space="preserve">Sanity Checks</w:t>
      </w:r>
    </w:p>
    <w:p w:rsidR="00000000" w:rsidDel="00000000" w:rsidP="00000000" w:rsidRDefault="00000000" w:rsidRPr="00000000">
      <w:pPr>
        <w:contextualSpacing w:val="0"/>
        <w:rPr/>
      </w:pPr>
      <w:r w:rsidDel="00000000" w:rsidR="00000000" w:rsidRPr="00000000">
        <w:rPr>
          <w:rtl w:val="0"/>
        </w:rPr>
        <w:t xml:space="preserve">For each of the evaluation metrics, a 95% confidence interval around the difference between the experiment and control groups.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number of cookies and clicks are evaluated.</w:t>
      </w:r>
    </w:p>
    <w:tbl>
      <w:tblPr>
        <w:tblStyle w:val="Table6"/>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55"/>
        <w:gridCol w:w="3735"/>
        <w:tblGridChange w:id="0">
          <w:tblGrid>
            <w:gridCol w:w="2070"/>
            <w:gridCol w:w="3555"/>
            <w:gridCol w:w="3735"/>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Pageviews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Clicks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Control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345543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28378</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Experiment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344660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28325</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690203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56703</w:t>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sqrt(0.5*0.5/690203)=0.0006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sqrt(0.5*0.5/56703)=0.0021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Margin of Err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1.96*sd=0.0012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1.96*sd=0.0041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Upper Bound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0.5011796079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0.5041155043</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Lower Bound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0.4988203921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0.4958844957</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b w:val="1"/>
              </w:rPr>
            </w:pPr>
            <w:r w:rsidDel="00000000" w:rsidR="00000000" w:rsidRPr="00000000">
              <w:rPr>
                <w:b w:val="1"/>
                <w:rtl w:val="0"/>
              </w:rPr>
              <w:t xml:space="preserve">Observed (control)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0.5006396669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0.5004673474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observed value is within the confidence level. The difference between control and experiment group is not statistically significant with an alpha of 0.05 when it comes to number of cookies or clicks.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we look at the click-through-primality: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895725" cy="1247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572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 hat pool = 0.08215</w:t>
      </w:r>
    </w:p>
    <w:p w:rsidR="00000000" w:rsidDel="00000000" w:rsidP="00000000" w:rsidRDefault="00000000" w:rsidRPr="00000000">
      <w:pPr>
        <w:contextualSpacing w:val="0"/>
        <w:rPr/>
      </w:pPr>
      <w:r w:rsidDel="00000000" w:rsidR="00000000" w:rsidRPr="00000000">
        <w:rPr>
          <w:rtl w:val="0"/>
        </w:rPr>
        <w:t xml:space="preserve">SE pool = 0.00066</w:t>
      </w:r>
    </w:p>
    <w:p w:rsidR="00000000" w:rsidDel="00000000" w:rsidP="00000000" w:rsidRDefault="00000000" w:rsidRPr="00000000">
      <w:pPr>
        <w:contextualSpacing w:val="0"/>
        <w:rPr/>
      </w:pPr>
      <w:r w:rsidDel="00000000" w:rsidR="00000000" w:rsidRPr="00000000">
        <w:rPr>
          <w:rtl w:val="0"/>
        </w:rPr>
        <w:t xml:space="preserve">d hat = 0.00006 &lt; Margin of Err = 0.00130</w:t>
      </w:r>
    </w:p>
    <w:p w:rsidR="00000000" w:rsidDel="00000000" w:rsidP="00000000" w:rsidRDefault="00000000" w:rsidRPr="00000000">
      <w:pPr>
        <w:contextualSpacing w:val="0"/>
        <w:rPr/>
      </w:pPr>
      <w:r w:rsidDel="00000000" w:rsidR="00000000" w:rsidRPr="00000000">
        <w:rPr>
          <w:rtl w:val="0"/>
        </w:rPr>
        <w:t xml:space="preserve">CI: [-0.0013,0.0013]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observed difference between proportion is smaller than the margin of error. The difference between control and experiment group is not statistically significant with an alpha of 0.05.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sanity check is passed.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s8eyo1" w:id="8"/>
      <w:bookmarkEnd w:id="8"/>
      <w:r w:rsidDel="00000000" w:rsidR="00000000" w:rsidRPr="00000000">
        <w:rPr>
          <w:rtl w:val="0"/>
        </w:rPr>
        <w:t xml:space="preserve">Result Analysis</w:t>
      </w:r>
    </w:p>
    <w:p w:rsidR="00000000" w:rsidDel="00000000" w:rsidP="00000000" w:rsidRDefault="00000000" w:rsidRPr="00000000">
      <w:pPr>
        <w:pStyle w:val="Heading3"/>
        <w:contextualSpacing w:val="0"/>
        <w:rPr/>
      </w:pPr>
      <w:bookmarkStart w:colFirst="0" w:colLast="0" w:name="_nlywo36nk3nf" w:id="9"/>
      <w:bookmarkEnd w:id="9"/>
      <w:r w:rsidDel="00000000" w:rsidR="00000000" w:rsidRPr="00000000">
        <w:rPr>
          <w:rtl w:val="0"/>
        </w:rPr>
        <w:t xml:space="preserve">Effect Size Tests</w:t>
      </w:r>
    </w:p>
    <w:p w:rsidR="00000000" w:rsidDel="00000000" w:rsidP="00000000" w:rsidRDefault="00000000" w:rsidRPr="00000000">
      <w:pPr>
        <w:contextualSpacing w:val="0"/>
        <w:rPr/>
      </w:pPr>
      <w:r w:rsidDel="00000000" w:rsidR="00000000" w:rsidRPr="00000000">
        <w:rPr>
          <w:rtl w:val="0"/>
        </w:rPr>
        <w:t xml:space="preserve">For each of the evaluation metrics, alpha = 0.05.</w:t>
      </w:r>
    </w:p>
    <w:p w:rsidR="00000000" w:rsidDel="00000000" w:rsidP="00000000" w:rsidRDefault="00000000" w:rsidRPr="00000000">
      <w:pPr>
        <w:contextualSpacing w:val="0"/>
        <w:rPr/>
      </w:pPr>
      <w:r w:rsidDel="00000000" w:rsidR="00000000" w:rsidRPr="00000000">
        <w:rPr>
          <w:rtl w:val="0"/>
        </w:rPr>
      </w:r>
    </w:p>
    <w:tbl>
      <w:tblPr>
        <w:tblStyle w:val="Table7"/>
        <w:tblW w:w="82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700"/>
        <w:gridCol w:w="3150"/>
        <w:tblGridChange w:id="0">
          <w:tblGrid>
            <w:gridCol w:w="2415"/>
            <w:gridCol w:w="2700"/>
            <w:gridCol w:w="315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Gross conversion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Net conversion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Diff (exp-con)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-0.02055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-0.00487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p hat pool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0.20861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0.11513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1/Ncon+1/Nexp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0.00012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SE pool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0.00343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Margin of Err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0.00673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Upper Bound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0.0019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Lower Bound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-0.0291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-0.0116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z 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4.70183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1.41920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P value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&lt;0.0001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0.15580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difference for gross conversion is statistically significant. Also, it is practically significant since 0.0206&gt;d</w:t>
      </w:r>
      <w:r w:rsidDel="00000000" w:rsidR="00000000" w:rsidRPr="00000000">
        <w:rPr>
          <w:vertAlign w:val="subscript"/>
          <w:rtl w:val="0"/>
        </w:rPr>
        <w:t xml:space="preserve">min</w:t>
      </w:r>
      <w:r w:rsidDel="00000000" w:rsidR="00000000" w:rsidRPr="00000000">
        <w:rPr>
          <w:rtl w:val="0"/>
        </w:rPr>
        <w:t xml:space="preserve">=0.01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difference for net conversion is not statistically significant nor practically significant. (d</w:t>
      </w:r>
      <w:r w:rsidDel="00000000" w:rsidR="00000000" w:rsidRPr="00000000">
        <w:rPr>
          <w:vertAlign w:val="subscript"/>
          <w:rtl w:val="0"/>
        </w:rPr>
        <w:t xml:space="preserve">min</w:t>
      </w:r>
      <w:r w:rsidDel="00000000" w:rsidR="00000000" w:rsidRPr="00000000">
        <w:rPr>
          <w:rtl w:val="0"/>
        </w:rPr>
        <w:t xml:space="preserve">= 0.0075)</w:t>
      </w:r>
    </w:p>
    <w:p w:rsidR="00000000" w:rsidDel="00000000" w:rsidP="00000000" w:rsidRDefault="00000000" w:rsidRPr="00000000">
      <w:pPr>
        <w:contextualSpacing w:val="0"/>
        <w:rPr>
          <w:color w:val="98000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w045ptfsbhb" w:id="10"/>
      <w:bookmarkEnd w:id="10"/>
      <w:r w:rsidDel="00000000" w:rsidR="00000000" w:rsidRPr="00000000">
        <w:rPr>
          <w:rtl w:val="0"/>
        </w:rPr>
        <w:t xml:space="preserve">Sign Tests</w:t>
      </w:r>
    </w:p>
    <w:p w:rsidR="00000000" w:rsidDel="00000000" w:rsidP="00000000" w:rsidRDefault="00000000" w:rsidRPr="00000000">
      <w:pPr>
        <w:contextualSpacing w:val="0"/>
        <w:rPr/>
      </w:pPr>
      <w:r w:rsidDel="00000000" w:rsidR="00000000" w:rsidRPr="00000000">
        <w:rPr>
          <w:rtl w:val="0"/>
        </w:rPr>
      </w:r>
    </w:p>
    <w:tbl>
      <w:tblPr>
        <w:tblStyle w:val="Table8"/>
        <w:tblW w:w="5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60"/>
        <w:gridCol w:w="2115"/>
        <w:tblGridChange w:id="0">
          <w:tblGrid>
            <w:gridCol w:w="1500"/>
            <w:gridCol w:w="2160"/>
            <w:gridCol w:w="211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Con-Exp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pPr>
            <w:r w:rsidDel="00000000" w:rsidR="00000000" w:rsidRPr="00000000">
              <w:rPr>
                <w:rtl w:val="0"/>
              </w:rPr>
              <w:t xml:space="preserve">Gross conversion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pPr>
            <w:r w:rsidDel="00000000" w:rsidR="00000000" w:rsidRPr="00000000">
              <w:rPr>
                <w:rtl w:val="0"/>
              </w:rPr>
              <w:t xml:space="preserve">Net conversion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Sat, Oct 11</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0.04198972165</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0.05232960308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Sun, Oct 12</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0.04093276535</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-0.02606477355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Mon, Oct 13</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0.01969122252</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0.01514393521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Tue, Oct 14</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0.01973467251</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0.01435262059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Wed, Oct 15</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0.02647389946</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-0.0365172089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Thu, Oct 16</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0.003973638601</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0.02222431244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Fri, Oct 17</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0.03236665295</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0.04519402166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Sat, Oct 18</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0.02987885377</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0.01566746913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Sun, Oct 19</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0.01741389083</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-0.0236427775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Mon, Oct 20</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0.01373065392</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-0.001293790347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Tue, Oct 21</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0.06055763809</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0.03893134051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Wed, Oct 22</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0.03351717275</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0.02239444132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Thu, Oct 23</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0.000946290961</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-0.0217084768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Fri, Oct 24</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0.0485587777</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0.04641415875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Sat, Oct 25</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0.06486775302</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0.06416255119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Sun, Oct 26</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0.006621909164</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0.001149509624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Mon, Oct 27</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0.03071828076</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0.00902785254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Tue, Oct 28</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-0.01086956522</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-0.03940217391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Wed, Oct 29</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-0.01125540481</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-0.0156760409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Thu, Oct 30</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-0.05682022337</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0.01014686948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Fri, Oct 31</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-0.005618638814</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-0.02730062072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Sat, Nov 1</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0.02475834311</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-0.007321015434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Sun, Nov 2</w:t>
            </w:r>
          </w:p>
        </w:tc>
        <w:tc>
          <w:tcPr>
            <w:tcBorders>
              <w:top w:color="cccccc" w:space="0" w:sz="6" w:val="single"/>
              <w:left w:color="cccccc" w:space="0" w:sz="6" w:val="single"/>
              <w:bottom w:color="cccccc" w:space="0" w:sz="6" w:val="single"/>
              <w:right w:color="cccccc" w:space="0" w:sz="6" w:val="single"/>
            </w:tcBorders>
            <w:shd w:fill="b7e1cd"/>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0.04587708179</w:t>
            </w:r>
          </w:p>
        </w:tc>
        <w:tc>
          <w:tcPr>
            <w:tcBorders>
              <w:top w:color="cccccc" w:space="0" w:sz="6" w:val="single"/>
              <w:left w:color="cccccc" w:space="0" w:sz="6" w:val="single"/>
              <w:bottom w:color="cccccc" w:space="0" w:sz="6" w:val="single"/>
              <w:right w:color="cccccc" w:space="0" w:sz="6" w:val="single"/>
            </w:tcBorders>
            <w:shd w:fill="f4c7c3"/>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sz w:val="20"/>
                <w:szCs w:val="20"/>
              </w:rPr>
            </w:pPr>
            <w:r w:rsidDel="00000000" w:rsidR="00000000" w:rsidRPr="00000000">
              <w:rPr>
                <w:sz w:val="20"/>
                <w:szCs w:val="20"/>
                <w:rtl w:val="0"/>
              </w:rPr>
              <w:t xml:space="preserve">-0.04558409669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Con&lt;Exp?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pPr>
            <w:r w:rsidDel="00000000" w:rsidR="00000000" w:rsidRPr="00000000">
              <w:rPr>
                <w:rtl w:val="0"/>
              </w:rPr>
              <w:t xml:space="preserve">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jc w:val="center"/>
              <w:rPr/>
            </w:pPr>
            <w:r w:rsidDel="00000000" w:rsidR="00000000" w:rsidRPr="00000000">
              <w:rPr>
                <w:rtl w:val="0"/>
              </w:rPr>
              <w:t xml:space="preserve">23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w:t>
      </w:r>
      <w:hyperlink r:id="rId8">
        <w:r w:rsidDel="00000000" w:rsidR="00000000" w:rsidRPr="00000000">
          <w:rPr>
            <w:rtl w:val="0"/>
          </w:rPr>
          <w:t xml:space="preserve">online calculator</w:t>
        </w:r>
      </w:hyperlink>
      <w:r w:rsidDel="00000000" w:rsidR="00000000" w:rsidRPr="00000000">
        <w:rPr>
          <w:rtl w:val="0"/>
        </w:rPr>
        <w:t xml:space="preserve">, we get the following sign test results: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rPr/>
            </w:pPr>
            <w:r w:rsidDel="00000000" w:rsidR="00000000" w:rsidRPr="00000000">
              <w:rPr>
                <w:rtl w:val="0"/>
              </w:rPr>
              <w:t xml:space="preserve">Gross conversion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spacing w:line="276" w:lineRule="auto"/>
              <w:contextualSpacing w:val="0"/>
              <w:rPr/>
            </w:pPr>
            <w:r w:rsidDel="00000000" w:rsidR="00000000" w:rsidRPr="00000000">
              <w:rPr>
                <w:rtl w:val="0"/>
              </w:rPr>
              <w:t xml:space="preserve">Net conversion</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Number of "successes"</w:t>
            </w:r>
          </w:p>
        </w:tc>
        <w:tc>
          <w:tcPr>
            <w:tcBorders>
              <w:top w:color="000000" w:space="0" w:sz="6"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19</w:t>
            </w:r>
          </w:p>
        </w:tc>
        <w:tc>
          <w:tcPr>
            <w:tcBorders>
              <w:top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Number of trials </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 23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pPr>
            <w:r w:rsidDel="00000000" w:rsidR="00000000" w:rsidRPr="00000000">
              <w:rPr>
                <w:rtl w:val="0"/>
              </w:rPr>
              <w:t xml:space="preserve">The P value</w:t>
            </w:r>
          </w:p>
        </w:tc>
        <w:tc>
          <w:tcPr>
            <w:tcMar>
              <w:top w:w="100.0" w:type="dxa"/>
              <w:left w:w="100.0" w:type="dxa"/>
              <w:bottom w:w="100.0" w:type="dxa"/>
              <w:right w:w="100.0" w:type="dxa"/>
            </w:tcMar>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pPr>
            <w:r w:rsidDel="00000000" w:rsidR="00000000" w:rsidRPr="00000000">
              <w:rPr>
                <w:rtl w:val="0"/>
              </w:rPr>
              <w:t xml:space="preserve"> 0.0026 </w:t>
            </w:r>
          </w:p>
        </w:tc>
        <w:tc>
          <w:tcPr>
            <w:tcMar>
              <w:top w:w="100.0" w:type="dxa"/>
              <w:left w:w="100.0" w:type="dxa"/>
              <w:bottom w:w="100.0" w:type="dxa"/>
              <w:right w:w="100.0" w:type="dxa"/>
            </w:tcMar>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pPr>
            <w:r w:rsidDel="00000000" w:rsidR="00000000" w:rsidRPr="00000000">
              <w:rPr>
                <w:rtl w:val="0"/>
              </w:rPr>
              <w:t xml:space="preserve">0.6776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Explanation</w:t>
            </w:r>
          </w:p>
        </w:tc>
        <w:tc>
          <w:tcPr>
            <w:tcMar>
              <w:top w:w="100.0" w:type="dxa"/>
              <w:left w:w="100.0" w:type="dxa"/>
              <w:bottom w:w="100.0" w:type="dxa"/>
              <w:right w:w="100.0" w:type="dxa"/>
            </w:tcMar>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pPr>
            <w:r w:rsidDel="00000000" w:rsidR="00000000" w:rsidRPr="00000000">
              <w:rPr>
                <w:rtl w:val="0"/>
              </w:rPr>
              <w:t xml:space="preserve">the chance of observing either 19 or more successes, or 4 or fewer successes, in 23 trials</w:t>
            </w:r>
          </w:p>
        </w:tc>
        <w:tc>
          <w:tcPr>
            <w:tcMar>
              <w:top w:w="100.0" w:type="dxa"/>
              <w:left w:w="100.0" w:type="dxa"/>
              <w:bottom w:w="100.0" w:type="dxa"/>
              <w:right w:w="100.0" w:type="dxa"/>
            </w:tcMar>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pPr>
            <w:r w:rsidDel="00000000" w:rsidR="00000000" w:rsidRPr="00000000">
              <w:rPr>
                <w:rtl w:val="0"/>
              </w:rPr>
              <w:t xml:space="preserve">the chance of observing either 10 or fewer successes, or 13 or more successes, in 23 trials.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The sign test does agree with the confidence interval for the difference. </w:t>
      </w:r>
    </w:p>
    <w:p w:rsidR="00000000" w:rsidDel="00000000" w:rsidP="00000000" w:rsidRDefault="00000000" w:rsidRPr="00000000">
      <w:pPr>
        <w:spacing w:line="240" w:lineRule="auto"/>
        <w:contextualSpacing w:val="0"/>
        <w:rPr/>
      </w:pPr>
      <w:r w:rsidDel="00000000" w:rsidR="00000000" w:rsidRPr="00000000">
        <w:rPr>
          <w:rtl w:val="0"/>
        </w:rPr>
        <w:t xml:space="preserve">The difference for gross conversion is statistically significant. </w:t>
      </w:r>
    </w:p>
    <w:p w:rsidR="00000000" w:rsidDel="00000000" w:rsidP="00000000" w:rsidRDefault="00000000" w:rsidRPr="00000000">
      <w:pPr>
        <w:spacing w:line="240" w:lineRule="auto"/>
        <w:contextualSpacing w:val="0"/>
        <w:rPr/>
      </w:pPr>
      <w:r w:rsidDel="00000000" w:rsidR="00000000" w:rsidRPr="00000000">
        <w:rPr>
          <w:rtl w:val="0"/>
        </w:rPr>
        <w:t xml:space="preserve">The difference for net conversion is not statistically significant.</w:t>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26in1rg" w:id="11"/>
      <w:bookmarkEnd w:id="11"/>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I did not use Bonferroni correction because it controls for false positives at the expense of increased false negatives.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launch criteria is meeting both criteria: retaining the hypothesis for net conversion AND rejecting the hypothesis for gross conversion. When both metrics must be satisfied to trigger launch, a false negative for gross conversion or a false positive for net conversion can govern the decision.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Therefore, we do not want to control Type I error (incorrectly rejecting) at the risk of increasing Type II error( incorrectly retaining).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nxbz9" w:id="12"/>
      <w:bookmarkEnd w:id="12"/>
      <w:r w:rsidDel="00000000" w:rsidR="00000000" w:rsidRPr="00000000">
        <w:rPr>
          <w:rtl w:val="0"/>
        </w:rPr>
        <w:t xml:space="preserve">Recommendation</w:t>
      </w:r>
    </w:p>
    <w:p w:rsidR="00000000" w:rsidDel="00000000" w:rsidP="00000000" w:rsidRDefault="00000000" w:rsidRPr="00000000">
      <w:pPr>
        <w:contextualSpacing w:val="0"/>
        <w:rPr/>
      </w:pPr>
      <w:r w:rsidDel="00000000" w:rsidR="00000000" w:rsidRPr="00000000">
        <w:rPr>
          <w:rtl w:val="0"/>
        </w:rPr>
        <w:t xml:space="preserve">I do not recommend this change.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here is statistically significant and practically significant difference in cross conversion. The decrease in gross conversion due to the screener is statistically significant, which is up to our expectation.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rtl w:val="0"/>
        </w:rPr>
        <w:t xml:space="preserve">However, </w:t>
      </w:r>
      <w:r w:rsidDel="00000000" w:rsidR="00000000" w:rsidRPr="00000000">
        <w:rPr>
          <w:rtl w:val="0"/>
        </w:rPr>
        <w:t xml:space="preserve">the negative of the net conversion practical significance boundary (-0.0075) is within the net conversion confidence interval (-0.0116,0.0019). It means the actual change of net conversion may be bigger than -0.075. We cannot risk the potential of revenue drop.</w:t>
      </w: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32"/>
          <w:szCs w:val="32"/>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Roboto" w:cs="Roboto" w:eastAsia="Roboto" w:hAnsi="Roboto"/>
          <w:color w:val="980000"/>
          <w:sz w:val="32"/>
          <w:szCs w:val="32"/>
          <w:rtl w:val="0"/>
        </w:rPr>
        <w:t xml:space="preserve">Follow-Up Experiment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To find a potential way to reduce the number of frustrated students who cancel early in the course, I would like to run an experiment on </w:t>
      </w:r>
      <w:r w:rsidDel="00000000" w:rsidR="00000000" w:rsidRPr="00000000">
        <w:rPr>
          <w:u w:val="single"/>
          <w:rtl w:val="0"/>
        </w:rPr>
        <w:t xml:space="preserve">extending the trial period by another week to those students who want to cancel early</w:t>
      </w:r>
      <w:r w:rsidDel="00000000" w:rsidR="00000000" w:rsidRPr="00000000">
        <w:rPr>
          <w:rtl w:val="0"/>
        </w:rPr>
        <w:t xml:space="preserve">. In this way, they may have more time to overcome the difficulty they ran into in the course.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Hypothesis: By popping up the screener indicating the course can be extended for another week for free, there will be fewer early cancellation.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Metric: </w:t>
      </w:r>
    </w:p>
    <w:p w:rsidR="00000000" w:rsidDel="00000000" w:rsidP="00000000" w:rsidRDefault="00000000" w:rsidRPr="00000000">
      <w:pPr>
        <w:spacing w:line="240" w:lineRule="auto"/>
        <w:contextualSpacing w:val="0"/>
        <w:rPr/>
      </w:pPr>
      <w:r w:rsidDel="00000000" w:rsidR="00000000" w:rsidRPr="00000000">
        <w:rPr>
          <w:rtl w:val="0"/>
        </w:rPr>
        <w:t xml:space="preserve">I</w:t>
      </w:r>
      <w:r w:rsidDel="00000000" w:rsidR="00000000" w:rsidRPr="00000000">
        <w:rPr>
          <w:rtl w:val="0"/>
        </w:rPr>
        <w:t xml:space="preserve">nvariant metrics: same as the original experiment.</w:t>
      </w:r>
    </w:p>
    <w:p w:rsidR="00000000" w:rsidDel="00000000" w:rsidP="00000000" w:rsidRDefault="00000000" w:rsidRPr="00000000">
      <w:pPr>
        <w:spacing w:line="240" w:lineRule="auto"/>
        <w:contextualSpacing w:val="0"/>
        <w:rPr/>
      </w:pPr>
      <w:r w:rsidDel="00000000" w:rsidR="00000000" w:rsidRPr="00000000">
        <w:rPr>
          <w:rtl w:val="0"/>
        </w:rPr>
        <w:t xml:space="preserve">Evaluation metrics: </w:t>
      </w:r>
      <w:r w:rsidDel="00000000" w:rsidR="00000000" w:rsidRPr="00000000">
        <w:rPr>
          <w:rtl w:val="0"/>
        </w:rPr>
        <w:t xml:space="preserve">net conversion: that is, number of user-ids to make at least one payment divided by number of unique cookies to click on the ‘Free Trial’ button. (d</w:t>
      </w:r>
      <w:r w:rsidDel="00000000" w:rsidR="00000000" w:rsidRPr="00000000">
        <w:rPr>
          <w:rtl w:val="0"/>
        </w:rPr>
        <w:t xml:space="preserve">min</w:t>
      </w:r>
      <w:r w:rsidDel="00000000" w:rsidR="00000000" w:rsidRPr="00000000">
        <w:rPr>
          <w:rtl w:val="0"/>
        </w:rPr>
        <w:t xml:space="preserve">=0.0075)</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unit of diversion and analysis is cookie. Choosing cookie as the unit of diversion and analysis will decrease the sample size based on the previous study.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color w:val="58646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color w:val="666666"/>
    </w:rPr>
  </w:style>
  <w:style w:type="paragraph" w:styleId="Title">
    <w:name w:val="Title"/>
    <w:basedOn w:val="Normal"/>
    <w:next w:val="Normal"/>
    <w:pPr>
      <w:keepNext w:val="1"/>
      <w:keepLines w:val="1"/>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url?q=https://drive.google.com/a/knowlabs.com/file/d/0ByAfiG8HpNUMakVrS0s4cGN2TjQ/view?usp%3Dsharing&amp;sa=D&amp;ust=1501379747868000&amp;usg=AFQjCNGHuj8k0YYKJoC1sGeGovXGXMf5yg" TargetMode="External"/><Relationship Id="rId6" Type="http://schemas.openxmlformats.org/officeDocument/2006/relationships/hyperlink" Target="http://www.evanmiller.org/ab-testing/sample-size.html" TargetMode="External"/><Relationship Id="rId7" Type="http://schemas.openxmlformats.org/officeDocument/2006/relationships/image" Target="media/image2.png"/><Relationship Id="rId8" Type="http://schemas.openxmlformats.org/officeDocument/2006/relationships/hyperlink" Target="http://graphpad.com/quickcalcs/binomial1.c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