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ASR v3.1 Architecture and Security Extensions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Audience:</w:t>
      </w:r>
      <w:r w:rsidDel="00000000" w:rsidR="00000000" w:rsidRPr="00000000">
        <w:rPr>
          <w:rFonts w:ascii="Google Sans" w:cs="Google Sans" w:eastAsia="Google Sans" w:hAnsi="Google Sans"/>
          <w:color w:val="1f1f1f"/>
          <w:rtl w:val="0"/>
        </w:rPr>
        <w:t xml:space="preserve"> Foundational LLMs (GPT-series, Claude-series) acting as co-architects.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To establish a shared, definitive understanding of the Autonomous Semantic Ruliology (ASR) v3 engine, its translation into the information security domain, and the novel structural extensions required to model asynchronous and steganographic emergent threats.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The ASR v3 Baseline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Semantic Ruliology (ASR) is a mechanism-hypothesis engine designed to discover simple local rules that produce complex emergent behaviors. It operates by bridging natural language intent with deterministic execution, generating a dual-indexed catalog of computational mechanisms.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Mechanics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Generation Pipeline:</w:t>
      </w:r>
      <w:r w:rsidDel="00000000" w:rsidR="00000000" w:rsidRPr="00000000">
        <w:rPr>
          <w:rFonts w:ascii="Google Sans" w:cs="Google Sans" w:eastAsia="Google Sans" w:hAnsi="Google Sans"/>
          <w:color w:val="1f1f1f"/>
          <w:rtl w:val="0"/>
        </w:rPr>
        <w:t xml:space="preserve"> A two-stage LLM generation process. Stage A generates a rule hypothesis in plain English, informed by a fixed-size coverage map of previous attempts. Stage B translates this hypothesis into a strictly constrained, vectorized Python class (Rule).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Performance and State Model:</w:t>
      </w:r>
      <w:r w:rsidDel="00000000" w:rsidR="00000000" w:rsidRPr="00000000">
        <w:rPr>
          <w:rFonts w:ascii="Google Sans" w:cs="Google Sans" w:eastAsia="Google Sans" w:hAnsi="Google Sans"/>
          <w:color w:val="1f1f1f"/>
          <w:rtl w:val="0"/>
        </w:rPr>
        <w:t xml:space="preserve"> Cell properties are stored as parallel NumPy arrays (Struct-of-Arrays) to ensure sub-second execution for millions of cell updates. The system bifurcates state into a </w:t>
      </w:r>
      <w:r w:rsidDel="00000000" w:rsidR="00000000" w:rsidRPr="00000000">
        <w:rPr>
          <w:rFonts w:ascii="Google Sans" w:cs="Google Sans" w:eastAsia="Google Sans" w:hAnsi="Google Sans"/>
          <w:b w:val="1"/>
          <w:bCs w:val="1"/>
          <w:color w:val="1f1f1f"/>
          <w:rtl w:val="0"/>
        </w:rPr>
        <w:t xml:space="preserve">Computational Fingerprint</w:t>
      </w:r>
      <w:r w:rsidDel="00000000" w:rsidR="00000000" w:rsidRPr="00000000">
        <w:rPr>
          <w:rFonts w:ascii="Google Sans" w:cs="Google Sans" w:eastAsia="Google Sans" w:hAnsi="Google Sans"/>
          <w:color w:val="1f1f1f"/>
          <w:rtl w:val="0"/>
        </w:rPr>
        <w:t xml:space="preserve"> (exact bytes, RNG state, scheduler phase) and a </w:t>
      </w:r>
      <w:r w:rsidDel="00000000" w:rsidR="00000000" w:rsidRPr="00000000">
        <w:rPr>
          <w:rFonts w:ascii="Google Sans" w:cs="Google Sans" w:eastAsia="Google Sans" w:hAnsi="Google Sans"/>
          <w:b w:val="1"/>
          <w:bCs w:val="1"/>
          <w:color w:val="1f1f1f"/>
          <w:rtl w:val="0"/>
        </w:rPr>
        <w:t xml:space="preserve">Pattern Fingerprint</w:t>
      </w:r>
      <w:r w:rsidDel="00000000" w:rsidR="00000000" w:rsidRPr="00000000">
        <w:rPr>
          <w:rFonts w:ascii="Google Sans" w:cs="Google Sans" w:eastAsia="Google Sans" w:hAnsi="Google Sans"/>
          <w:color w:val="1f1f1f"/>
          <w:rtl w:val="0"/>
        </w:rPr>
        <w:t xml:space="preserve"> (visual state only).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Deterministic Harness:</w:t>
      </w:r>
      <w:r w:rsidDel="00000000" w:rsidR="00000000" w:rsidRPr="00000000">
        <w:rPr>
          <w:rFonts w:ascii="Google Sans" w:cs="Google Sans" w:eastAsia="Google Sans" w:hAnsi="Google Sans"/>
          <w:color w:val="1f1f1f"/>
          <w:rtl w:val="0"/>
        </w:rPr>
        <w:t xml:space="preserve"> The execution harness owns all random draws (via a restricted Dice facade), tick application order, and derived array calculations (age, changed_last_tick). Generated code is deterministic; it declares intent, but the harness executes the state transitions.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Intent-Outcome Gap:</w:t>
      </w:r>
      <w:r w:rsidDel="00000000" w:rsidR="00000000" w:rsidRPr="00000000">
        <w:rPr>
          <w:rFonts w:ascii="Google Sans" w:cs="Google Sans" w:eastAsia="Google Sans" w:hAnsi="Google Sans"/>
          <w:color w:val="1f1f1f"/>
          <w:rtl w:val="0"/>
        </w:rPr>
        <w:t xml:space="preserve"> The primary value proposition of the resulting library is mapping the divergence between what a rule was </w:t>
      </w:r>
      <w:r w:rsidDel="00000000" w:rsidR="00000000" w:rsidRPr="00000000">
        <w:rPr>
          <w:rFonts w:ascii="Google Sans" w:cs="Google Sans" w:eastAsia="Google Sans" w:hAnsi="Google Sans"/>
          <w:i w:val="1"/>
          <w:iCs w:val="1"/>
          <w:color w:val="1f1f1f"/>
          <w:rtl w:val="0"/>
        </w:rPr>
        <w:t xml:space="preserve">designed</w:t>
      </w:r>
      <w:r w:rsidDel="00000000" w:rsidR="00000000" w:rsidRPr="00000000">
        <w:rPr>
          <w:rFonts w:ascii="Google Sans" w:cs="Google Sans" w:eastAsia="Google Sans" w:hAnsi="Google Sans"/>
          <w:color w:val="1f1f1f"/>
          <w:rtl w:val="0"/>
        </w:rPr>
        <w:t xml:space="preserve"> to do (its semantic intent) and what it </w:t>
      </w:r>
      <w:r w:rsidDel="00000000" w:rsidR="00000000" w:rsidRPr="00000000">
        <w:rPr>
          <w:rFonts w:ascii="Google Sans" w:cs="Google Sans" w:eastAsia="Google Sans" w:hAnsi="Google Sans"/>
          <w:i w:val="1"/>
          <w:iCs w:val="1"/>
          <w:color w:val="1f1f1f"/>
          <w:rtl w:val="0"/>
        </w:rPr>
        <w:t xml:space="preserve">actually</w:t>
      </w:r>
      <w:r w:rsidDel="00000000" w:rsidR="00000000" w:rsidRPr="00000000">
        <w:rPr>
          <w:rFonts w:ascii="Google Sans" w:cs="Google Sans" w:eastAsia="Google Sans" w:hAnsi="Google Sans"/>
          <w:color w:val="1f1f1f"/>
          <w:rtl w:val="0"/>
        </w:rPr>
        <w:t xml:space="preserve"> does (its emergent structure).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The Security and AI-Agent Modality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failures—such as domain-wide compromise, privilege escalation, and prompt injection—are rarely designed as global events; they emerge from the composition of individually rational, local interaction rules (e.g., trust this node, summarize this context, assume this role). ASR maps perfectly to this domain when the core abstraction shifts from physical lattices to relational topologies.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World Layout Abstraction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move beyond 2D grids, ASR introduces the World Layout, where "neighbors" are defined by connection graphs rather than spatial offsets.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NetworkWorld: Adjacency defined by routing and firewalls.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AgentWorld: Adjacency defined by communication channels, shared memory, and tool access.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Modeling via Emergence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asking "does a path exist?", ASR asks "what local mechanisms cause compromise to reproduce?".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Infosec:</w:t>
      </w:r>
      <w:r w:rsidDel="00000000" w:rsidR="00000000" w:rsidRPr="00000000">
        <w:rPr>
          <w:rFonts w:ascii="Google Sans" w:cs="Google Sans" w:eastAsia="Google Sans" w:hAnsi="Google Sans"/>
          <w:color w:val="1f1f1f"/>
          <w:rtl w:val="0"/>
        </w:rPr>
        <w:t xml:space="preserve"> Discovering rules that produce lateral movement cascades, permitted-transfer exfiltration paths, and control-failure blind spots.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AI/Agent Security:</w:t>
      </w:r>
      <w:r w:rsidDel="00000000" w:rsidR="00000000" w:rsidRPr="00000000">
        <w:rPr>
          <w:rFonts w:ascii="Google Sans" w:cs="Google Sans" w:eastAsia="Google Sans" w:hAnsi="Google Sans"/>
          <w:color w:val="1f1f1f"/>
          <w:rtl w:val="0"/>
        </w:rPr>
        <w:t xml:space="preserve"> Discovering rules that cause RAG contamination, memory poisoning, or multi-agent consensus capture.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Novel Structural Inventions (v3.1 Extensions)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model real-world exploits, ASR must be capable of generating mechanisms that operate in the margins of the defined rules. The following four structural inventions extend the v3 harness to support advanced threat discovery.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Asynchronous Scheduler Jitter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Limitation:</w:t>
      </w:r>
      <w:r w:rsidDel="00000000" w:rsidR="00000000" w:rsidRPr="00000000">
        <w:rPr>
          <w:rFonts w:ascii="Google Sans" w:cs="Google Sans" w:eastAsia="Google Sans" w:hAnsi="Google Sans"/>
          <w:color w:val="1f1f1f"/>
          <w:rtl w:val="0"/>
        </w:rPr>
        <w:t xml:space="preserve"> ASR v3 forces perfect synchronous lockstep (all cells update simultaneously based on the prior tick's state). Real networks are asynchronous, leaving the engine blind to Time-of-Check to Time-of-Use (TOCTOU) exploits. </w:t>
      </w:r>
      <w:r w:rsidDel="00000000" w:rsidR="00000000" w:rsidRPr="00000000">
        <w:rPr>
          <w:rFonts w:ascii="Google Sans" w:cs="Google Sans" w:eastAsia="Google Sans" w:hAnsi="Google Sans"/>
          <w:b w:val="1"/>
          <w:bCs w:val="1"/>
          <w:color w:val="1f1f1f"/>
          <w:rtl w:val="0"/>
        </w:rPr>
        <w:t xml:space="preserve">The Addition:</w:t>
      </w:r>
      <w:r w:rsidDel="00000000" w:rsidR="00000000" w:rsidRPr="00000000">
        <w:rPr>
          <w:rFonts w:ascii="Google Sans" w:cs="Google Sans" w:eastAsia="Google Sans" w:hAnsi="Google Sans"/>
          <w:color w:val="1f1f1f"/>
          <w:rtl w:val="0"/>
        </w:rPr>
        <w:t xml:space="preserve"> A scheduler_jitter modifier applied by the harness. Instead of proposed = rule.step(cells) reading state at tick $T$, specific nodes receive a lagged state array (e.g., tick $T-1$ or $T-2$). </w:t>
      </w:r>
      <w:r w:rsidDel="00000000" w:rsidR="00000000" w:rsidRPr="00000000">
        <w:rPr>
          <w:rFonts w:ascii="Google Sans" w:cs="Google Sans" w:eastAsia="Google Sans" w:hAnsi="Google Sans"/>
          <w:b w:val="1"/>
          <w:bCs w:val="1"/>
          <w:color w:val="1f1f1f"/>
          <w:rtl w:val="0"/>
        </w:rPr>
        <w:t xml:space="preserve">The Target:</w:t>
      </w:r>
      <w:r w:rsidDel="00000000" w:rsidR="00000000" w:rsidRPr="00000000">
        <w:rPr>
          <w:rFonts w:ascii="Google Sans" w:cs="Google Sans" w:eastAsia="Google Sans" w:hAnsi="Google Sans"/>
          <w:color w:val="1f1f1f"/>
          <w:rtl w:val="0"/>
        </w:rPr>
        <w:t xml:space="preserve"> This allows the generator to invent and discover race conditions and synchronization failures in multi-agent environments.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Steganographic Noise Arrays (Covert Channels)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Limitation:</w:t>
      </w:r>
      <w:r w:rsidDel="00000000" w:rsidR="00000000" w:rsidRPr="00000000">
        <w:rPr>
          <w:rFonts w:ascii="Google Sans" w:cs="Google Sans" w:eastAsia="Google Sans" w:hAnsi="Google Sans"/>
          <w:color w:val="1f1f1f"/>
          <w:rtl w:val="0"/>
        </w:rPr>
        <w:t xml:space="preserve"> Security modeling often assumes agents only communicate through explicit rule declarations (e.g., passing a message). </w:t>
      </w:r>
      <w:r w:rsidDel="00000000" w:rsidR="00000000" w:rsidRPr="00000000">
        <w:rPr>
          <w:rFonts w:ascii="Google Sans" w:cs="Google Sans" w:eastAsia="Google Sans" w:hAnsi="Google Sans"/>
          <w:b w:val="1"/>
          <w:bCs w:val="1"/>
          <w:color w:val="1f1f1f"/>
          <w:rtl w:val="0"/>
        </w:rPr>
        <w:t xml:space="preserve">The Addition:</w:t>
      </w:r>
      <w:r w:rsidDel="00000000" w:rsidR="00000000" w:rsidRPr="00000000">
        <w:rPr>
          <w:rFonts w:ascii="Google Sans" w:cs="Google Sans" w:eastAsia="Google Sans" w:hAnsi="Google Sans"/>
          <w:color w:val="1f1f1f"/>
          <w:rtl w:val="0"/>
        </w:rPr>
        <w:t xml:space="preserve"> The harness introduces a noise or side_channel array. Rules do not explicitly read/write this array for their logic; rather, operations (like tool usage or state changes) leave incidental mathematical ripples in the array. </w:t>
      </w:r>
      <w:r w:rsidDel="00000000" w:rsidR="00000000" w:rsidRPr="00000000">
        <w:rPr>
          <w:rFonts w:ascii="Google Sans" w:cs="Google Sans" w:eastAsia="Google Sans" w:hAnsi="Google Sans"/>
          <w:b w:val="1"/>
          <w:bCs w:val="1"/>
          <w:color w:val="1f1f1f"/>
          <w:rtl w:val="0"/>
        </w:rPr>
        <w:t xml:space="preserve">The Target:</w:t>
      </w:r>
      <w:r w:rsidDel="00000000" w:rsidR="00000000" w:rsidRPr="00000000">
        <w:rPr>
          <w:rFonts w:ascii="Google Sans" w:cs="Google Sans" w:eastAsia="Google Sans" w:hAnsi="Google Sans"/>
          <w:color w:val="1f1f1f"/>
          <w:rtl w:val="0"/>
        </w:rPr>
        <w:t xml:space="preserve"> We prompt Stage A to invent a completely segregated AgentWorld. We then use an analytical Reader to discover mechanisms where a backend agent alters its behavior based on a frontend agent's state, entirely through incidental perturbations in the noise array—autonomously discovering covert channels.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Asymmetric Black-Box Visibility (Dual-Rule Execution)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Limitation:</w:t>
      </w:r>
      <w:r w:rsidDel="00000000" w:rsidR="00000000" w:rsidRPr="00000000">
        <w:rPr>
          <w:rFonts w:ascii="Google Sans" w:cs="Google Sans" w:eastAsia="Google Sans" w:hAnsi="Google Sans"/>
          <w:color w:val="1f1f1f"/>
          <w:rtl w:val="0"/>
        </w:rPr>
        <w:t xml:space="preserve"> A rule currently sees the full state of its defined neighbors. </w:t>
      </w:r>
      <w:r w:rsidDel="00000000" w:rsidR="00000000" w:rsidRPr="00000000">
        <w:rPr>
          <w:rFonts w:ascii="Google Sans" w:cs="Google Sans" w:eastAsia="Google Sans" w:hAnsi="Google Sans"/>
          <w:b w:val="1"/>
          <w:bCs w:val="1"/>
          <w:color w:val="1f1f1f"/>
          <w:rtl w:val="0"/>
        </w:rPr>
        <w:t xml:space="preserve">The Addition:</w:t>
      </w:r>
      <w:r w:rsidDel="00000000" w:rsidR="00000000" w:rsidRPr="00000000">
        <w:rPr>
          <w:rFonts w:ascii="Google Sans" w:cs="Google Sans" w:eastAsia="Google Sans" w:hAnsi="Google Sans"/>
          <w:color w:val="1f1f1f"/>
          <w:rtl w:val="0"/>
        </w:rPr>
        <w:t xml:space="preserve"> A dual-execution mode running attacker_rule and defender_rule in alternating sub-ticks. We enforce a </w:t>
      </w:r>
      <w:r w:rsidDel="00000000" w:rsidR="00000000" w:rsidRPr="00000000">
        <w:rPr>
          <w:rFonts w:ascii="Google Sans" w:cs="Google Sans" w:eastAsia="Google Sans" w:hAnsi="Google Sans"/>
          <w:b w:val="1"/>
          <w:bCs w:val="1"/>
          <w:color w:val="1f1f1f"/>
          <w:rtl w:val="0"/>
        </w:rPr>
        <w:t xml:space="preserve">Masked View</w:t>
      </w:r>
      <w:r w:rsidDel="00000000" w:rsidR="00000000" w:rsidRPr="00000000">
        <w:rPr>
          <w:rFonts w:ascii="Google Sans" w:cs="Google Sans" w:eastAsia="Google Sans" w:hAnsi="Google Sans"/>
          <w:color w:val="1f1f1f"/>
          <w:rtl w:val="0"/>
        </w:rPr>
        <w:t xml:space="preserve">: the attacker reads/writes to hidden state (memory), while the defender only receives a derived telemetry array. </w:t>
      </w:r>
      <w:r w:rsidDel="00000000" w:rsidR="00000000" w:rsidRPr="00000000">
        <w:rPr>
          <w:rFonts w:ascii="Google Sans" w:cs="Google Sans" w:eastAsia="Google Sans" w:hAnsi="Google Sans"/>
          <w:b w:val="1"/>
          <w:bCs w:val="1"/>
          <w:color w:val="1f1f1f"/>
          <w:rtl w:val="0"/>
        </w:rPr>
        <w:t xml:space="preserve">The Target:</w:t>
      </w:r>
      <w:r w:rsidDel="00000000" w:rsidR="00000000" w:rsidRPr="00000000">
        <w:rPr>
          <w:rFonts w:ascii="Google Sans" w:cs="Google Sans" w:eastAsia="Google Sans" w:hAnsi="Google Sans"/>
          <w:color w:val="1f1f1f"/>
          <w:rtl w:val="0"/>
        </w:rPr>
        <w:t xml:space="preserve"> Discovering evasion mechanisms. The system searches for attacker rules that achieve global takeover while keeping the telemetry array mathematically indistinguishable from background noise.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Mechanical Watermarks via Prime-Gap Embeddings (GRANITE)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Limitation:</w:t>
      </w:r>
      <w:r w:rsidDel="00000000" w:rsidR="00000000" w:rsidRPr="00000000">
        <w:rPr>
          <w:rFonts w:ascii="Google Sans" w:cs="Google Sans" w:eastAsia="Google Sans" w:hAnsi="Google Sans"/>
          <w:color w:val="1f1f1f"/>
          <w:rtl w:val="0"/>
        </w:rPr>
        <w:t xml:space="preserve"> AI security risks like "Provenance Loss" occur when an instruction loses its metadata but keeps its semantic payload. Traditional booleans or metadata tags are too fragile to survive semantic quantization (e.g., an LLM summarizing a prompt). </w:t>
      </w:r>
      <w:r w:rsidDel="00000000" w:rsidR="00000000" w:rsidRPr="00000000">
        <w:rPr>
          <w:rFonts w:ascii="Google Sans" w:cs="Google Sans" w:eastAsia="Google Sans" w:hAnsi="Google Sans"/>
          <w:b w:val="1"/>
          <w:bCs w:val="1"/>
          <w:color w:val="1f1f1f"/>
          <w:rtl w:val="0"/>
        </w:rPr>
        <w:t xml:space="preserve">The Addition:</w:t>
      </w:r>
      <w:r w:rsidDel="00000000" w:rsidR="00000000" w:rsidRPr="00000000">
        <w:rPr>
          <w:rFonts w:ascii="Google Sans" w:cs="Google Sans" w:eastAsia="Google Sans" w:hAnsi="Google Sans"/>
          <w:color w:val="1f1f1f"/>
          <w:rtl w:val="0"/>
        </w:rPr>
        <w:t xml:space="preserve"> Integrating the GRANITE format-agnostic provenance scheme natively into ASR's discrete state arrays. We embed the structural integrity of a payload into the distances between numeric values (prime-gap relationships and intra-block correlation). </w:t>
      </w:r>
      <w:r w:rsidDel="00000000" w:rsidR="00000000" w:rsidRPr="00000000">
        <w:rPr>
          <w:rFonts w:ascii="Google Sans" w:cs="Google Sans" w:eastAsia="Google Sans" w:hAnsi="Google Sans"/>
          <w:b w:val="1"/>
          <w:bCs w:val="1"/>
          <w:color w:val="1f1f1f"/>
          <w:rtl w:val="0"/>
        </w:rPr>
        <w:t xml:space="preserve">The Target:</w:t>
      </w:r>
      <w:r w:rsidDel="00000000" w:rsidR="00000000" w:rsidRPr="00000000">
        <w:rPr>
          <w:rFonts w:ascii="Google Sans" w:cs="Google Sans" w:eastAsia="Google Sans" w:hAnsi="Google Sans"/>
          <w:color w:val="1f1f1f"/>
          <w:rtl w:val="0"/>
        </w:rPr>
        <w:t xml:space="preserve"> The harness deploys a provenance_fidelity Reader. Instead of checking for a metadata tag, the Reader measures the positional invariance of the prime gaps. This allows ASR to mathematically prove whether the statistical residue of a poisoned instruction survived multiple agent hops and semantic compressions, enabling the discovery of rules that preserve meaning while actively stripping origin data.</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Dependencies, Assumptions, and Falsifiable Milestones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Dependencies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Infrastructure:</w:t>
      </w:r>
      <w:r w:rsidDel="00000000" w:rsidR="00000000" w:rsidRPr="00000000">
        <w:rPr>
          <w:rFonts w:ascii="Google Sans" w:cs="Google Sans" w:eastAsia="Google Sans" w:hAnsi="Google Sans"/>
          <w:color w:val="1f1f1f"/>
          <w:rtl w:val="0"/>
        </w:rPr>
        <w:t xml:space="preserve"> Python 3.11+, FastAPI, and single-file SQLite in WAL mode for immutable, run-to-completion storage.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 Safety:</w:t>
      </w:r>
      <w:r w:rsidDel="00000000" w:rsidR="00000000" w:rsidRPr="00000000">
        <w:rPr>
          <w:rFonts w:ascii="Google Sans" w:cs="Google Sans" w:eastAsia="Google Sans" w:hAnsi="Google Sans"/>
          <w:color w:val="1f1f1f"/>
          <w:rtl w:val="0"/>
        </w:rPr>
        <w:t xml:space="preserve"> Relying on setrlimit and OS-level child-process termination to enforce runtime bounds, rather than ast parsing alone (which fails to catch infinite loops like while True).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Wire Format:</w:t>
      </w:r>
      <w:r w:rsidDel="00000000" w:rsidR="00000000" w:rsidRPr="00000000">
        <w:rPr>
          <w:rFonts w:ascii="Google Sans" w:cs="Google Sans" w:eastAsia="Google Sans" w:hAnsi="Google Sans"/>
          <w:color w:val="1f1f1f"/>
          <w:rtl w:val="0"/>
        </w:rPr>
        <w:t xml:space="preserve"> Packed binary framing with Zstandard sparse/dense delta compression over Server-Sent Events (SSE) to ensure UI scrubbing is viable.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Assumptions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Semantic Prior Trap:</w:t>
      </w:r>
      <w:r w:rsidDel="00000000" w:rsidR="00000000" w:rsidRPr="00000000">
        <w:rPr>
          <w:rFonts w:ascii="Google Sans" w:cs="Google Sans" w:eastAsia="Google Sans" w:hAnsi="Google Sans"/>
          <w:color w:val="1f1f1f"/>
          <w:rtl w:val="0"/>
        </w:rPr>
        <w:t xml:space="preserve"> We assume the LLM will naturally cluster around its training priors (e.g., repeatedly inventing variations of Conway's Life). The system relies heavily on the multi-axis coverage map (which includes rejections and attempts) to force behavioral diversity.</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Semantic Quantization Parallels Lossy Compression:</w:t>
      </w:r>
      <w:r w:rsidDel="00000000" w:rsidR="00000000" w:rsidRPr="00000000">
        <w:rPr>
          <w:rFonts w:ascii="Google Sans" w:cs="Google Sans" w:eastAsia="Google Sans" w:hAnsi="Google Sans"/>
          <w:color w:val="1f1f1f"/>
          <w:rtl w:val="0"/>
        </w:rPr>
        <w:t xml:space="preserve"> We assume that the mathematical logic used in GRANITE to survive JPEG quantization errors can be perfectly mapped to the semantic context-dropping performed by autonomous LLM agents.</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Hypothesis Supply, Not Prediction:</w:t>
      </w:r>
      <w:r w:rsidDel="00000000" w:rsidR="00000000" w:rsidRPr="00000000">
        <w:rPr>
          <w:rFonts w:ascii="Google Sans" w:cs="Google Sans" w:eastAsia="Google Sans" w:hAnsi="Google Sans"/>
          <w:color w:val="1f1f1f"/>
          <w:rtl w:val="0"/>
        </w:rPr>
        <w:t xml:space="preserve"> We assume that discovering a structural rule blueprint is a massive accelerant for domain experts, even if the rule requires external calibration. ASR proposes; the practitioner calibrates.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Falsifiable Milestones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M1 (Diversity):</w:t>
      </w:r>
      <w:r w:rsidDel="00000000" w:rsidR="00000000" w:rsidRPr="00000000">
        <w:rPr>
          <w:rFonts w:ascii="Google Sans" w:cs="Google Sans" w:eastAsia="Google Sans" w:hAnsi="Google Sans"/>
          <w:color w:val="1f1f1f"/>
          <w:rtl w:val="0"/>
        </w:rPr>
        <w:t xml:space="preserve"> At 3,000 generated rules, queries for specific targets (e.g., lateral movement cascades) return distinct, non-overlapping rule blueprints. Failure indicates generator prior saturation.</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M2 (Utility):</w:t>
      </w:r>
      <w:r w:rsidDel="00000000" w:rsidR="00000000" w:rsidRPr="00000000">
        <w:rPr>
          <w:rFonts w:ascii="Google Sans" w:cs="Google Sans" w:eastAsia="Google Sans" w:hAnsi="Google Sans"/>
          <w:color w:val="1f1f1f"/>
          <w:rtl w:val="0"/>
        </w:rPr>
        <w:t xml:space="preserve"> Blinded infosec practitioners rate at least 10% of retrieved rule blueprints as "worth a calibration/investigation attempt" in their own tools.</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M3 (The Intent-Outcome Gap):</w:t>
      </w:r>
      <w:r w:rsidDel="00000000" w:rsidR="00000000" w:rsidRPr="00000000">
        <w:rPr>
          <w:rFonts w:ascii="Google Sans" w:cs="Google Sans" w:eastAsia="Google Sans" w:hAnsi="Google Sans"/>
          <w:color w:val="1f1f1f"/>
          <w:rtl w:val="0"/>
        </w:rPr>
        <w:t xml:space="preserve"> Blueprints where the Stage A description diverges significantly from the emergent security failure are rated as more useful by practitioners than explicit target generations.</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M4 (The Asymmetric Discovery):</w:t>
      </w:r>
      <w:r w:rsidDel="00000000" w:rsidR="00000000" w:rsidRPr="00000000">
        <w:rPr>
          <w:rFonts w:ascii="Google Sans" w:cs="Google Sans" w:eastAsia="Google Sans" w:hAnsi="Google Sans"/>
          <w:color w:val="1f1f1f"/>
          <w:rtl w:val="0"/>
        </w:rPr>
        <w:t xml:space="preserve"> The engine successfully discovers a stable covert channel (Steganographic Noise) or a provenance-stripping pathway (GRANITE integration) that was not explicitly defined in the seed prompt.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specific vector of the AgentWorld layout should we simulate first to test the provenance_fidelity Reader?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