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1A2E"/>
          <w:sz w:val="32"/>
          <w:szCs w:val="32"/>
        </w:rPr>
        <w:t xml:space="preserve">EXPERIMENTAL RESULTS</w:t>
      </w:r>
    </w:p>
    <w:p>
      <w:pPr>
        <w:spacing w:after="60"/>
        <w:jc w:val="center"/>
      </w:pPr>
      <w:r>
        <w:rPr>
          <w:rFonts w:ascii="Georgia" w:cs="Georgia" w:eastAsia="Georgia" w:hAnsi="Georgia"/>
          <w:i/>
          <w:iCs/>
          <w:color w:val="555555"/>
          <w:sz w:val="26"/>
          <w:szCs w:val="26"/>
        </w:rPr>
        <w:t xml:space="preserve">Scale, Resize, Fingerprint Stability, and Seed Separation</w:t>
      </w:r>
    </w:p>
    <w:p>
      <w:pPr>
        <w:spacing w:after="120"/>
        <w:jc w:val="center"/>
      </w:pPr>
      <w:r>
        <w:rPr>
          <w:rFonts w:ascii="Georgia" w:cs="Georgia" w:eastAsia="Georgia" w:hAnsi="Georgia"/>
          <w:color w:val="999999"/>
          <w:sz w:val="20"/>
          <w:szCs w:val="20"/>
        </w:rPr>
        <w:t xml:space="preserve">Participation Over Permission — March 18, 2026</w:t>
      </w:r>
    </w:p>
    <w:p>
      <w:pPr>
        <w:spacing w:after="400"/>
        <w:jc w:val="center"/>
      </w:pPr>
      <w:r>
        <w:rPr>
          <w:rFonts w:ascii="Georgia" w:cs="Georgia" w:eastAsia="Georgia" w:hAnsi="Georgia"/>
          <w:b/>
          <w:bCs/>
          <w:color w:val="CC0000"/>
          <w:sz w:val="20"/>
          <w:szCs w:val="20"/>
        </w:rPr>
        <w:t xml:space="preserve">Synthetic corpus (one image per size class). Pending DIV2K validation.</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1. Image Size Scaling</w:t>
      </w:r>
    </w:p>
    <w:p>
      <w:pPr>
        <w:spacing w:after="160" w:line="300"/>
      </w:pPr>
      <w:r>
        <w:rPr>
          <w:rFonts w:ascii="Georgia" w:cs="Georgia" w:eastAsia="Georgia" w:hAnsi="Georgia"/>
          <w:sz w:val="22"/>
          <w:szCs w:val="22"/>
        </w:rPr>
        <w:t xml:space="preserve">Four size classes were tested: 512×512, 1024×1024, 2048×2048, and 4096×4096. Each used a synthetic Gaussian blob photograph with twin prime-gap markers (floor ≥ 53, rare basket, grid-avoidant) embedded at Q95. A five-generation JPEG compression cascade (Q95 → Q85 → Q75 → Q60 → Q40) was applied to each size.</w:t>
      </w:r>
    </w:p>
    <w:p>
      <w:pPr>
        <w:spacing w:after="160" w:line="300"/>
      </w:pPr>
      <w:r>
        <w:rPr>
          <w:rFonts w:ascii="Georgia" w:cs="Georgia" w:eastAsia="Georgia" w:hAnsi="Georgia"/>
          <w:sz w:val="22"/>
          <w:szCs w:val="22"/>
        </w:rPr>
        <w:t xml:space="preserve">4096×4096 failed embedding due to a block-center offset filtering issue in the current implementation. This is an engineering bug, not a fundamental limitation. The eligible position set must be regenerated for images where the grid offset exceeds the current filter bounds.</w:t>
      </w:r>
    </w:p>
    <w:p>
      <w:pPr>
        <w:pStyle w:val="Heading2"/>
        <w:spacing w:after="160" w:before="300"/>
      </w:pPr>
      <w:r>
        <w:rPr>
          <w:rFonts w:ascii="Georgia" w:cs="Georgia" w:eastAsia="Georgia" w:hAnsi="Georgia"/>
          <w:b/>
          <w:bCs/>
          <w:color w:val="2C3E50"/>
          <w:sz w:val="25"/>
          <w:szCs w:val="25"/>
        </w:rPr>
        <w:t xml:space="preserve">1.1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Size</w:t>
            </w:r>
          </w:p>
        </w:tc>
        <w:tc>
          <w:tcPr>
            <w:tcW w:type="dxa" w:w="1872"/>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Eligible Positions</w:t>
            </w:r>
          </w:p>
        </w:tc>
        <w:tc>
          <w:tcPr>
            <w:tcW w:type="dxa" w:w="1872"/>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Markers Embedded</w:t>
            </w:r>
          </w:p>
        </w:tc>
        <w:tc>
          <w:tcPr>
            <w:tcW w:type="dxa" w:w="1872"/>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Saturation</w:t>
            </w:r>
          </w:p>
        </w:tc>
        <w:tc>
          <w:tcPr>
            <w:tcW w:type="dxa" w:w="1872"/>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Embed Time</w:t>
            </w:r>
          </w:p>
        </w:tc>
      </w:tr>
      <w:tr>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512×512</w:t>
            </w:r>
          </w:p>
        </w:tc>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4,096</w:t>
            </w:r>
          </w:p>
        </w:tc>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248</w:t>
            </w:r>
          </w:p>
        </w:tc>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6.1%</w:t>
            </w:r>
          </w:p>
        </w:tc>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0.1s</w:t>
            </w:r>
          </w:p>
        </w:tc>
      </w:tr>
      <w:tr>
        <w:tc>
          <w:tcPr>
            <w:tcW w:type="dxa" w:w="1872"/>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1024×1024</w:t>
            </w:r>
          </w:p>
        </w:tc>
        <w:tc>
          <w:tcPr>
            <w:tcW w:type="dxa" w:w="1872"/>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16,384</w:t>
            </w:r>
          </w:p>
        </w:tc>
        <w:tc>
          <w:tcPr>
            <w:tcW w:type="dxa" w:w="1872"/>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999</w:t>
            </w:r>
          </w:p>
        </w:tc>
        <w:tc>
          <w:tcPr>
            <w:tcW w:type="dxa" w:w="1872"/>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6.1%</w:t>
            </w:r>
          </w:p>
        </w:tc>
        <w:tc>
          <w:tcPr>
            <w:tcW w:type="dxa" w:w="1872"/>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0.7s</w:t>
            </w:r>
          </w:p>
        </w:tc>
      </w:tr>
      <w:tr>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2048×2048</w:t>
            </w:r>
          </w:p>
        </w:tc>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65,536</w:t>
            </w:r>
          </w:p>
        </w:tc>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1,129</w:t>
            </w:r>
          </w:p>
        </w:tc>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1.7%</w:t>
            </w:r>
          </w:p>
        </w:tc>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11.2s</w:t>
            </w:r>
          </w:p>
        </w:tc>
      </w:tr>
    </w:tbl>
    <w:p>
      <w:pPr>
        <w:spacing w:after="200" w:before="80"/>
      </w:pPr>
      <w:r>
        <w:rPr>
          <w:rFonts w:ascii="Georgia" w:cs="Georgia" w:eastAsia="Georgia" w:hAnsi="Georgia"/>
          <w:b/>
          <w:bCs/>
          <w:sz w:val="19"/>
          <w:szCs w:val="19"/>
        </w:rPr>
        <w:t xml:space="preserve">Table 1. </w:t>
      </w:r>
      <w:r>
        <w:rPr>
          <w:rFonts w:ascii="Georgia" w:cs="Georgia" w:eastAsia="Georgia" w:hAnsi="Georgia"/>
          <w:i/>
          <w:iCs/>
          <w:sz w:val="19"/>
          <w:szCs w:val="19"/>
        </w:rPr>
        <w:t xml:space="preserve">Embedding capacity by image size. Eligible positions scale quadratically. Marker count is capped at n_markers parameter (2000) or eligible count.</w:t>
      </w:r>
    </w:p>
    <w:p>
      <w:pPr>
        <w:pStyle w:val="Heading2"/>
        <w:spacing w:after="160" w:before="300"/>
      </w:pPr>
      <w:r>
        <w:rPr>
          <w:rFonts w:ascii="Georgia" w:cs="Georgia" w:eastAsia="Georgia" w:hAnsi="Georgia"/>
          <w:b/>
          <w:bCs/>
          <w:color w:val="2C3E50"/>
          <w:sz w:val="25"/>
          <w:szCs w:val="25"/>
        </w:rPr>
        <w:t xml:space="preserve">1.2 Cascade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500"/>
        <w:gridCol w:w="1800"/>
        <w:gridCol w:w="1300"/>
        <w:gridCol w:w="760"/>
      </w:tblGrid>
      <w:tr>
        <w:tc>
          <w:tcPr>
            <w:tcW w:type="dxa" w:w="13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Size</w:t>
            </w:r>
          </w:p>
        </w:tc>
        <w:tc>
          <w:tcPr>
            <w:tcW w:type="dxa" w:w="13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Gen</w:t>
            </w:r>
          </w:p>
        </w:tc>
        <w:tc>
          <w:tcPr>
            <w:tcW w:type="dxa" w:w="13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Quality</w:t>
            </w:r>
          </w:p>
        </w:tc>
        <w:tc>
          <w:tcPr>
            <w:tcW w:type="dxa" w:w="15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Rate Ratio</w:t>
            </w:r>
          </w:p>
        </w:tc>
        <w:tc>
          <w:tcPr>
            <w:tcW w:type="dxa" w:w="18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KS diff p</w:t>
            </w:r>
          </w:p>
        </w:tc>
        <w:tc>
          <w:tcPr>
            <w:tcW w:type="dxa" w:w="13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Var Ratio</w:t>
            </w:r>
          </w:p>
        </w:tc>
        <w:tc>
          <w:tcPr>
            <w:tcW w:type="dxa" w:w="7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Det?</w:t>
            </w:r>
          </w:p>
        </w:tc>
      </w:tr>
      <w:tr>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512</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Q95</w:t>
            </w:r>
          </w:p>
        </w:tc>
        <w:tc>
          <w:tcPr>
            <w:tcW w:type="dxa" w:w="1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1.2×</w:t>
            </w:r>
          </w:p>
        </w:tc>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1.06 × 10⁻²</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1.68</w:t>
            </w:r>
          </w:p>
        </w:tc>
        <w:tc>
          <w:tcPr>
            <w:tcW w:type="dxa" w:w="7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t>
            </w:r>
          </w:p>
        </w:tc>
      </w:tr>
      <w:tr>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512</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Q40</w:t>
            </w:r>
          </w:p>
        </w:tc>
        <w:tc>
          <w:tcPr>
            <w:tcW w:type="dxa" w:w="1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1.2×</w:t>
            </w:r>
          </w:p>
        </w:tc>
        <w:tc>
          <w:tcPr>
            <w:tcW w:type="dxa" w:w="1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2.02 × 10⁻⁴</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2.75</w:t>
            </w:r>
          </w:p>
        </w:tc>
        <w:tc>
          <w:tcPr>
            <w:tcW w:type="dxa" w:w="7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KS</w:t>
            </w:r>
          </w:p>
        </w:tc>
      </w:tr>
      <w:tr>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1024</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Q95</w:t>
            </w:r>
          </w:p>
        </w:tc>
        <w:tc>
          <w:tcPr>
            <w:tcW w:type="dxa" w:w="1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3.4×</w:t>
            </w:r>
          </w:p>
        </w:tc>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9.24 × 10⁻⁴⁰</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2.90</w:t>
            </w:r>
          </w:p>
        </w:tc>
        <w:tc>
          <w:tcPr>
            <w:tcW w:type="dxa" w:w="7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TWIN+KS</w:t>
            </w:r>
          </w:p>
        </w:tc>
      </w:tr>
      <w:tr>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1024</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Q85</w:t>
            </w:r>
          </w:p>
        </w:tc>
        <w:tc>
          <w:tcPr>
            <w:tcW w:type="dxa" w:w="1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2.8×</w:t>
            </w:r>
          </w:p>
        </w:tc>
        <w:tc>
          <w:tcPr>
            <w:tcW w:type="dxa" w:w="1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7.45 × 10⁻¹⁵</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1.69</w:t>
            </w:r>
          </w:p>
        </w:tc>
        <w:tc>
          <w:tcPr>
            <w:tcW w:type="dxa" w:w="7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TWIN+KS</w:t>
            </w:r>
          </w:p>
        </w:tc>
      </w:tr>
      <w:tr>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1024</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Q75</w:t>
            </w:r>
          </w:p>
        </w:tc>
        <w:tc>
          <w:tcPr>
            <w:tcW w:type="dxa" w:w="1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2.9×</w:t>
            </w:r>
          </w:p>
        </w:tc>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2.38 × 10⁻¹²</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2.16</w:t>
            </w:r>
          </w:p>
        </w:tc>
        <w:tc>
          <w:tcPr>
            <w:tcW w:type="dxa" w:w="7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TWIN+KS</w:t>
            </w:r>
          </w:p>
        </w:tc>
      </w:tr>
      <w:tr>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1024</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Q60</w:t>
            </w:r>
          </w:p>
        </w:tc>
        <w:tc>
          <w:tcPr>
            <w:tcW w:type="dxa" w:w="1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2.9×</w:t>
            </w:r>
          </w:p>
        </w:tc>
        <w:tc>
          <w:tcPr>
            <w:tcW w:type="dxa" w:w="1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5.37 × 10⁻²⁸</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3.40</w:t>
            </w:r>
          </w:p>
        </w:tc>
        <w:tc>
          <w:tcPr>
            <w:tcW w:type="dxa" w:w="7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TWIN+KS</w:t>
            </w:r>
          </w:p>
        </w:tc>
      </w:tr>
      <w:tr>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1024</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Q40</w:t>
            </w:r>
          </w:p>
        </w:tc>
        <w:tc>
          <w:tcPr>
            <w:tcW w:type="dxa" w:w="1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2.5×</w:t>
            </w:r>
          </w:p>
        </w:tc>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2.05 × 10⁻⁵¹</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4.59</w:t>
            </w:r>
          </w:p>
        </w:tc>
        <w:tc>
          <w:tcPr>
            <w:tcW w:type="dxa" w:w="7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TWIN+KS</w:t>
            </w:r>
          </w:p>
        </w:tc>
      </w:tr>
      <w:tr>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2048</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Q95</w:t>
            </w:r>
          </w:p>
        </w:tc>
        <w:tc>
          <w:tcPr>
            <w:tcW w:type="dxa" w:w="15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8.0×</w:t>
            </w:r>
          </w:p>
        </w:tc>
        <w:tc>
          <w:tcPr>
            <w:tcW w:type="dxa" w:w="18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2.00 × 10⁻⁶⁴</w:t>
            </w:r>
          </w:p>
        </w:tc>
        <w:tc>
          <w:tcPr>
            <w:tcW w:type="dxa" w:w="13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3.69</w:t>
            </w:r>
          </w:p>
        </w:tc>
        <w:tc>
          <w:tcPr>
            <w:tcW w:type="dxa" w:w="7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TWIN+KS</w:t>
            </w:r>
          </w:p>
        </w:tc>
      </w:tr>
      <w:tr>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2048</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Q40</w:t>
            </w:r>
          </w:p>
        </w:tc>
        <w:tc>
          <w:tcPr>
            <w:tcW w:type="dxa" w:w="15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3.2×</w:t>
            </w:r>
          </w:p>
        </w:tc>
        <w:tc>
          <w:tcPr>
            <w:tcW w:type="dxa" w:w="18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1.21 × 10⁻⁹⁶</w:t>
            </w:r>
          </w:p>
        </w:tc>
        <w:tc>
          <w:tcPr>
            <w:tcW w:type="dxa" w:w="13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9.30</w:t>
            </w:r>
          </w:p>
        </w:tc>
        <w:tc>
          <w:tcPr>
            <w:tcW w:type="dxa" w:w="7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TWIN+KS</w:t>
            </w:r>
          </w:p>
        </w:tc>
      </w:tr>
    </w:tbl>
    <w:p>
      <w:pPr>
        <w:spacing w:after="200" w:before="80"/>
      </w:pPr>
      <w:r>
        <w:rPr>
          <w:rFonts w:ascii="Georgia" w:cs="Georgia" w:eastAsia="Georgia" w:hAnsi="Georgia"/>
          <w:b/>
          <w:bCs/>
          <w:sz w:val="19"/>
          <w:szCs w:val="19"/>
        </w:rPr>
        <w:t xml:space="preserve">Table 2. </w:t>
      </w:r>
      <w:r>
        <w:rPr>
          <w:rFonts w:ascii="Georgia" w:cs="Georgia" w:eastAsia="Georgia" w:hAnsi="Georgia"/>
          <w:i/>
          <w:iCs/>
          <w:sz w:val="19"/>
          <w:szCs w:val="19"/>
        </w:rPr>
        <w:t xml:space="preserve">Selected cascade results. At 1024×1024, TWIN+KS detection holds at every generation. At 2048×2048 Gen4, variance ratio reaches 9.3× with KS p = 10⁻⁹⁶. The amplification effect scales positively with image size.</w:t>
      </w:r>
    </w:p>
    <w:p>
      <w:pPr>
        <w:spacing w:after="160" w:line="300"/>
      </w:pPr>
      <w:r>
        <w:rPr>
          <w:rFonts w:ascii="Georgia" w:cs="Georgia" w:eastAsia="Georgia" w:hAnsi="Georgia"/>
          <w:b/>
          <w:bCs/>
          <w:sz w:val="22"/>
          <w:szCs w:val="22"/>
        </w:rPr>
        <w:t xml:space="preserve">Key finding: </w:t>
      </w:r>
      <w:r>
        <w:rPr>
          <w:rFonts w:ascii="Georgia" w:cs="Georgia" w:eastAsia="Georgia" w:hAnsi="Georgia"/>
          <w:sz w:val="22"/>
          <w:szCs w:val="22"/>
        </w:rPr>
        <w:t xml:space="preserve">At 1024×1024, both twin marker detection and KS variance anomaly detection are operational at every generation from Q95 through Q40 with no detection gap. This is the first image size where the cascade is fully detected end-to-end. At 512×512, twin detection is marginal and only the KS signal at Gen4 (the amplification) is reliable. The operating envelope for full three-layer detection is ≥ 1024×1024.</w:t>
      </w:r>
    </w:p>
    <w:p>
      <w:pPr>
        <w:spacing w:after="160" w:line="300"/>
      </w:pPr>
      <w:r>
        <w:rPr>
          <w:rFonts w:ascii="Georgia" w:cs="Georgia" w:eastAsia="Georgia" w:hAnsi="Georgia"/>
          <w:b/>
          <w:bCs/>
          <w:sz w:val="22"/>
          <w:szCs w:val="22"/>
        </w:rPr>
        <w:t xml:space="preserve">Key finding: </w:t>
      </w:r>
      <w:r>
        <w:rPr>
          <w:rFonts w:ascii="Georgia" w:cs="Georgia" w:eastAsia="Georgia" w:hAnsi="Georgia"/>
          <w:sz w:val="22"/>
          <w:szCs w:val="22"/>
        </w:rPr>
        <w:t xml:space="preserve">The variance ratio increases monotonically with compression generation at all image sizes: 512 (1.68 → 2.75), 1024 (2.90 → 4.59), 2048 (3.69 → 9.30). The amplification hypothesis is confirmed on synthetic images across all sizes tested. The effect is stronger at larger image sizes.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2. Resize Survival</w:t>
      </w:r>
    </w:p>
    <w:p>
      <w:pPr>
        <w:spacing w:after="160" w:line="300"/>
      </w:pPr>
      <w:r>
        <w:rPr>
          <w:rFonts w:ascii="Georgia" w:cs="Georgia" w:eastAsia="Georgia" w:hAnsi="Georgia"/>
          <w:sz w:val="22"/>
          <w:szCs w:val="22"/>
        </w:rPr>
        <w:t xml:space="preserve">Source: 2048×2048 synthetic image with 1,129 twin markers. Resized to 1024, 512, and 256 using Lanczos interpolation. Marker positions scaled proportionally. Markers whose scaled positions fell outside the new image boundaries were excluded.</w:t>
      </w:r>
    </w:p>
    <w:p>
      <w:pPr>
        <w:pStyle w:val="Heading2"/>
        <w:spacing w:after="160" w:before="300"/>
      </w:pPr>
      <w:r>
        <w:rPr>
          <w:rFonts w:ascii="Georgia" w:cs="Georgia" w:eastAsia="Georgia" w:hAnsi="Georgia"/>
          <w:b/>
          <w:bCs/>
          <w:color w:val="2C3E50"/>
          <w:sz w:val="25"/>
          <w:szCs w:val="25"/>
        </w:rPr>
        <w:t xml:space="preserve">2.1 Pure Resize (No Re-encode)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700"/>
        <w:gridCol w:w="1700"/>
        <w:gridCol w:w="1700"/>
        <w:gridCol w:w="1460"/>
      </w:tblGrid>
      <w:tr>
        <w:tc>
          <w:tcPr>
            <w:tcW w:type="dxa" w:w="14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Target</w:t>
            </w:r>
          </w:p>
        </w:tc>
        <w:tc>
          <w:tcPr>
            <w:tcW w:type="dxa" w:w="14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Scale</w:t>
            </w:r>
          </w:p>
        </w:tc>
        <w:tc>
          <w:tcPr>
            <w:tcW w:type="dxa" w:w="17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Rate Ratio</w:t>
            </w:r>
          </w:p>
        </w:tc>
        <w:tc>
          <w:tcPr>
            <w:tcW w:type="dxa" w:w="17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Binom p</w:t>
            </w:r>
          </w:p>
        </w:tc>
        <w:tc>
          <w:tcPr>
            <w:tcW w:type="dxa" w:w="17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KS diff p</w:t>
            </w:r>
          </w:p>
        </w:tc>
        <w:tc>
          <w:tcPr>
            <w:tcW w:type="dxa" w:w="14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Det?</w:t>
            </w:r>
          </w:p>
        </w:tc>
      </w:tr>
      <w:tr>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1024px</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0.50×</w:t>
            </w:r>
          </w:p>
        </w:tc>
        <w:tc>
          <w:tcPr>
            <w:tcW w:type="dxa" w:w="17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7.0×</w:t>
            </w:r>
          </w:p>
        </w:tc>
        <w:tc>
          <w:tcPr>
            <w:tcW w:type="dxa" w:w="17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5.6 × 10⁻¹⁹</w:t>
            </w:r>
          </w:p>
        </w:tc>
        <w:tc>
          <w:tcPr>
            <w:tcW w:type="dxa" w:w="17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1.7 × 10⁻¹²⁰</w:t>
            </w:r>
          </w:p>
        </w:tc>
        <w:tc>
          <w:tcPr>
            <w:tcW w:type="dxa" w:w="14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TWIN+KS</w:t>
            </w:r>
          </w:p>
        </w:tc>
      </w:tr>
      <w:tr>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512px</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0.25×</w:t>
            </w:r>
          </w:p>
        </w:tc>
        <w:tc>
          <w:tcPr>
            <w:tcW w:type="dxa" w:w="17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5.6×</w:t>
            </w:r>
          </w:p>
        </w:tc>
        <w:tc>
          <w:tcPr>
            <w:tcW w:type="dxa" w:w="17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3.2 × 10⁻⁹</w:t>
            </w:r>
          </w:p>
        </w:tc>
        <w:tc>
          <w:tcPr>
            <w:tcW w:type="dxa" w:w="17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1.3 × 10⁻⁴⁰</w:t>
            </w:r>
          </w:p>
        </w:tc>
        <w:tc>
          <w:tcPr>
            <w:tcW w:type="dxa" w:w="14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TWIN+KS</w:t>
            </w:r>
          </w:p>
        </w:tc>
      </w:tr>
      <w:tr>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256px</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0.12×</w:t>
            </w:r>
          </w:p>
        </w:tc>
        <w:tc>
          <w:tcPr>
            <w:tcW w:type="dxa" w:w="17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4.7×</w:t>
            </w:r>
          </w:p>
        </w:tc>
        <w:tc>
          <w:tcPr>
            <w:tcW w:type="dxa" w:w="17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1.3 × 10⁻⁸</w:t>
            </w:r>
          </w:p>
        </w:tc>
        <w:tc>
          <w:tcPr>
            <w:tcW w:type="dxa" w:w="17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4.0 × 10⁻²⁴</w:t>
            </w:r>
          </w:p>
        </w:tc>
        <w:tc>
          <w:tcPr>
            <w:tcW w:type="dxa" w:w="14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TWIN+KS</w:t>
            </w:r>
          </w:p>
        </w:tc>
      </w:tr>
    </w:tbl>
    <w:p>
      <w:pPr>
        <w:spacing w:after="200" w:before="80"/>
      </w:pPr>
      <w:r>
        <w:rPr>
          <w:rFonts w:ascii="Georgia" w:cs="Georgia" w:eastAsia="Georgia" w:hAnsi="Georgia"/>
          <w:b/>
          <w:bCs/>
          <w:sz w:val="19"/>
          <w:szCs w:val="19"/>
        </w:rPr>
        <w:t xml:space="preserve">Table 3. </w:t>
      </w:r>
      <w:r>
        <w:rPr>
          <w:rFonts w:ascii="Georgia" w:cs="Georgia" w:eastAsia="Georgia" w:hAnsi="Georgia"/>
          <w:i/>
          <w:iCs/>
          <w:sz w:val="19"/>
          <w:szCs w:val="19"/>
        </w:rPr>
        <w:t xml:space="preserve">Pure resize without re-encoding. Signal is detected at all sizes down to 256px (8× downscale). Rate ratio decreases with scale factor but remains strongly significant at all tested sizes.</w:t>
      </w:r>
    </w:p>
    <w:p>
      <w:pPr>
        <w:spacing w:after="160" w:line="300"/>
      </w:pPr>
      <w:r>
        <w:rPr>
          <w:rFonts w:ascii="Georgia" w:cs="Georgia" w:eastAsia="Georgia" w:hAnsi="Georgia"/>
          <w:b/>
          <w:bCs/>
          <w:sz w:val="22"/>
          <w:szCs w:val="22"/>
        </w:rPr>
        <w:t xml:space="preserve">Key finding: </w:t>
      </w:r>
      <w:r>
        <w:rPr>
          <w:rFonts w:ascii="Georgia" w:cs="Georgia" w:eastAsia="Georgia" w:hAnsi="Georgia"/>
          <w:sz w:val="22"/>
          <w:szCs w:val="22"/>
        </w:rPr>
        <w:t xml:space="preserve">An 8× downscale (2048 → 256) preserves a 4.7× rate ratio at p = 1.3 × 10⁻⁸. Spatial resampling does not destroy the perturbation. The Lanczos kernel concentrates the perturbation energy into fewer pixels at the smaller resolution rather than diffusing it.</w:t>
      </w:r>
    </w:p>
    <w:p>
      <w:pPr>
        <w:pStyle w:val="Heading2"/>
        <w:spacing w:after="160" w:before="300"/>
      </w:pPr>
      <w:r>
        <w:rPr>
          <w:rFonts w:ascii="Georgia" w:cs="Georgia" w:eastAsia="Georgia" w:hAnsi="Georgia"/>
          <w:b/>
          <w:bCs/>
          <w:color w:val="2C3E50"/>
          <w:sz w:val="25"/>
          <w:szCs w:val="25"/>
        </w:rPr>
        <w:t xml:space="preserve">2.2 Resize + JPEG Re-encode (Platform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Target</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Quality</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Rate Ratio</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Binom p</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Detected?</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Note</w:t>
            </w:r>
          </w:p>
        </w:tc>
      </w:tr>
      <w:tr>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1024px</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Q85</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1.6×</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0.136</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Below threshold</w:t>
            </w:r>
          </w:p>
        </w:tc>
      </w:tr>
      <w:tr>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1024px</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Q75</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2.3×</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0.014</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No (marginal)</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Borderline</w:t>
            </w:r>
          </w:p>
        </w:tc>
      </w:tr>
      <w:tr>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512px</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Q75</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2.6×</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0.002</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Detected</w:t>
            </w:r>
          </w:p>
        </w:tc>
      </w:tr>
      <w:tr>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512px</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Q60</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2.3×</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0.005</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Detected</w:t>
            </w:r>
          </w:p>
        </w:tc>
      </w:tr>
    </w:tbl>
    <w:p>
      <w:pPr>
        <w:spacing w:after="200" w:before="80"/>
      </w:pPr>
      <w:r>
        <w:rPr>
          <w:rFonts w:ascii="Georgia" w:cs="Georgia" w:eastAsia="Georgia" w:hAnsi="Georgia"/>
          <w:b/>
          <w:bCs/>
          <w:sz w:val="19"/>
          <w:szCs w:val="19"/>
        </w:rPr>
        <w:t xml:space="preserve">Table 4. </w:t>
      </w:r>
      <w:r>
        <w:rPr>
          <w:rFonts w:ascii="Georgia" w:cs="Georgia" w:eastAsia="Georgia" w:hAnsi="Georgia"/>
          <w:i/>
          <w:iCs/>
          <w:sz w:val="19"/>
          <w:szCs w:val="19"/>
        </w:rPr>
        <w:t xml:space="preserve">Resize + JPEG re-encode. Detection is marginal at 1024px and confirmed at 512px at Q75 and Q60. The combination of resize and JPEG quantization weakens the twin marker signal.</w:t>
      </w:r>
    </w:p>
    <w:p>
      <w:pPr>
        <w:pStyle w:val="Heading2"/>
        <w:spacing w:after="160" w:before="300"/>
      </w:pPr>
      <w:r>
        <w:rPr>
          <w:rFonts w:ascii="Georgia" w:cs="Georgia" w:eastAsia="Georgia" w:hAnsi="Georgia"/>
          <w:b/>
          <w:bCs/>
          <w:color w:val="2C3E50"/>
          <w:sz w:val="25"/>
          <w:szCs w:val="25"/>
        </w:rPr>
        <w:t xml:space="preserve">2.3 Resize + WebP Re-encode (CDN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Target</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WebP Q</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Rate Ratio</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Binom p</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Detected?</w:t>
            </w:r>
          </w:p>
        </w:tc>
        <w:tc>
          <w:tcPr>
            <w:tcW w:type="dxa" w:w="15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Note</w:t>
            </w:r>
          </w:p>
        </w:tc>
      </w:tr>
      <w:tr>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1024px</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WQ95</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2.9×</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4.2 × 10⁻⁴</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
            </w:r>
          </w:p>
        </w:tc>
      </w:tr>
      <w:tr>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1024px</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WQ80</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2.8×</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5.2 × 10⁻⁴</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
            </w:r>
          </w:p>
        </w:tc>
      </w:tr>
      <w:tr>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1024px</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WQ60</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3.1×</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1.7 × 10⁻⁴</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Strongest at lowest Q</w:t>
            </w:r>
          </w:p>
        </w:tc>
      </w:tr>
      <w:tr>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512px</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WQ95</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3.8×</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4.8 × 10⁻⁶</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Strongest combination</w:t>
            </w:r>
          </w:p>
        </w:tc>
      </w:tr>
      <w:tr>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512px</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WQ80</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3.3×</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6.8 × 10⁻⁵</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c>
          <w:tcPr>
            <w:tcW w:type="dxa" w:w="15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
            </w:r>
          </w:p>
        </w:tc>
      </w:tr>
      <w:tr>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512px</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WQ60</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3.3×</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2.2 × 10⁻⁴</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w:t>
            </w:r>
          </w:p>
        </w:tc>
        <w:tc>
          <w:tcPr>
            <w:tcW w:type="dxa" w:w="15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
            </w:r>
          </w:p>
        </w:tc>
      </w:tr>
    </w:tbl>
    <w:p>
      <w:pPr>
        <w:spacing w:after="200" w:before="80"/>
      </w:pPr>
      <w:r>
        <w:rPr>
          <w:rFonts w:ascii="Georgia" w:cs="Georgia" w:eastAsia="Georgia" w:hAnsi="Georgia"/>
          <w:b/>
          <w:bCs/>
          <w:sz w:val="19"/>
          <w:szCs w:val="19"/>
        </w:rPr>
        <w:t xml:space="preserve">Table 5. </w:t>
      </w:r>
      <w:r>
        <w:rPr>
          <w:rFonts w:ascii="Georgia" w:cs="Georgia" w:eastAsia="Georgia" w:hAnsi="Georgia"/>
          <w:i/>
          <w:iCs/>
          <w:sz w:val="19"/>
          <w:szCs w:val="19"/>
        </w:rPr>
        <w:t xml:space="preserve">Resize + WebP re-encode. DETECTED at every combination of target size and quality tested. WebP consistently outperforms JPEG after resize. The cross-codec boundary amplification effect persists through spatial resampling.</w:t>
      </w:r>
    </w:p>
    <w:p>
      <w:pPr>
        <w:spacing w:after="160" w:line="300"/>
      </w:pPr>
      <w:r>
        <w:rPr>
          <w:rFonts w:ascii="Georgia" w:cs="Georgia" w:eastAsia="Georgia" w:hAnsi="Georgia"/>
          <w:b/>
          <w:bCs/>
          <w:sz w:val="22"/>
          <w:szCs w:val="22"/>
        </w:rPr>
        <w:t xml:space="preserve">Key finding: </w:t>
      </w:r>
      <w:r>
        <w:rPr>
          <w:rFonts w:ascii="Georgia" w:cs="Georgia" w:eastAsia="Georgia" w:hAnsi="Georgia"/>
          <w:sz w:val="22"/>
          <w:szCs w:val="22"/>
        </w:rPr>
        <w:t xml:space="preserve">WebP re-encode after resize is detected at every combination tested. JPEG re-encode after resize is detected only at smaller targets and lower quality. The CDN pipeline (resize + WebP transcode) is more favorable to the scheme than the platform pipeline (resize + JPEG re-encode). This is consistent with the cross-codec amplification effect: the misaligned 4×4 VP8 grid and 8×8 JPEG grid create constructive interference at marker positions.</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3. Fingerprint Stability</w:t>
      </w:r>
    </w:p>
    <w:p>
      <w:pPr>
        <w:spacing w:after="160" w:line="300"/>
      </w:pPr>
      <w:r>
        <w:rPr>
          <w:rFonts w:ascii="Georgia" w:cs="Georgia" w:eastAsia="Georgia" w:hAnsi="Georgia"/>
          <w:sz w:val="22"/>
          <w:szCs w:val="22"/>
        </w:rPr>
        <w:t xml:space="preserve">Test: embed 407 twin markers in a 1024×1024 synthetic image. Extract the binary disruption map (which positions show compound marker survival). Apply eleven different transforms. Measure Hamming distance and Jaccard similarity between the reference map and each transformed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400"/>
        <w:gridCol w:w="1400"/>
        <w:gridCol w:w="1100"/>
        <w:gridCol w:w="1360"/>
      </w:tblGrid>
      <w:tr>
        <w:tc>
          <w:tcPr>
            <w:tcW w:type="dxa" w:w="30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Transform</w:t>
            </w:r>
          </w:p>
        </w:tc>
        <w:tc>
          <w:tcPr>
            <w:tcW w:type="dxa" w:w="11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Ones</w:t>
            </w:r>
          </w:p>
        </w:tc>
        <w:tc>
          <w:tcPr>
            <w:tcW w:type="dxa" w:w="14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Hamming</w:t>
            </w:r>
          </w:p>
        </w:tc>
        <w:tc>
          <w:tcPr>
            <w:tcW w:type="dxa" w:w="14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Hamming %</w:t>
            </w:r>
          </w:p>
        </w:tc>
        <w:tc>
          <w:tcPr>
            <w:tcW w:type="dxa" w:w="110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Jaccard</w:t>
            </w:r>
          </w:p>
        </w:tc>
        <w:tc>
          <w:tcPr>
            <w:tcW w:type="dxa" w:w="136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Match?</w:t>
            </w:r>
          </w:p>
        </w:tc>
      </w:tr>
      <w:tr>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JPEG Q95 (identity)</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122</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0.0%</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1.000</w:t>
            </w:r>
          </w:p>
        </w:tc>
        <w:tc>
          <w:tcPr>
            <w:tcW w:type="dxa" w:w="1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JPEG Q85</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98</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56</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13.8%</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0.594</w:t>
            </w:r>
          </w:p>
        </w:tc>
        <w:tc>
          <w:tcPr>
            <w:tcW w:type="dxa" w:w="13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JPEG Q75</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93</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55</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13.5%</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0.593</w:t>
            </w:r>
          </w:p>
        </w:tc>
        <w:tc>
          <w:tcPr>
            <w:tcW w:type="dxa" w:w="1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JPEG Q60</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105</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67</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16.5%</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0.544</w:t>
            </w:r>
          </w:p>
        </w:tc>
        <w:tc>
          <w:tcPr>
            <w:tcW w:type="dxa" w:w="13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JPEG Q40</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117</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59</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14.5%</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0.604</w:t>
            </w:r>
          </w:p>
        </w:tc>
        <w:tc>
          <w:tcPr>
            <w:tcW w:type="dxa" w:w="1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WebP Q95</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139</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67</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16.5%</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0.591</w:t>
            </w:r>
          </w:p>
        </w:tc>
        <w:tc>
          <w:tcPr>
            <w:tcW w:type="dxa" w:w="13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WebP Q80</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90</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76</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18.7%</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0.472</w:t>
            </w:r>
          </w:p>
        </w:tc>
        <w:tc>
          <w:tcPr>
            <w:tcW w:type="dxa" w:w="1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WebP Q60</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96</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70</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17.2%</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0.514</w:t>
            </w:r>
          </w:p>
        </w:tc>
        <w:tc>
          <w:tcPr>
            <w:tcW w:type="dxa" w:w="13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JPEG Q85 → WebP Q80</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91</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73</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17.9%</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0.490</w:t>
            </w:r>
          </w:p>
        </w:tc>
        <w:tc>
          <w:tcPr>
            <w:tcW w:type="dxa" w:w="1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JPEG Q75 → WebP Q60</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93</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75</w:t>
            </w:r>
          </w:p>
        </w:tc>
        <w:tc>
          <w:tcPr>
            <w:tcW w:type="dxa" w:w="14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18.4%</w:t>
            </w:r>
          </w:p>
        </w:tc>
        <w:tc>
          <w:tcPr>
            <w:tcW w:type="dxa" w:w="110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0.483</w:t>
            </w:r>
          </w:p>
        </w:tc>
        <w:tc>
          <w:tcPr>
            <w:tcW w:type="dxa" w:w="136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YES</w:t>
            </w:r>
          </w:p>
        </w:tc>
      </w:tr>
      <w:tr>
        <w:tc>
          <w:tcPr>
            <w:tcW w:type="dxa" w:w="30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JPEG Q95 → Q85 → Q75</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109</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63</w:t>
            </w:r>
          </w:p>
        </w:tc>
        <w:tc>
          <w:tcPr>
            <w:tcW w:type="dxa" w:w="14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15.5%</w:t>
            </w:r>
          </w:p>
        </w:tc>
        <w:tc>
          <w:tcPr>
            <w:tcW w:type="dxa" w:w="110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0.571</w:t>
            </w:r>
          </w:p>
        </w:tc>
        <w:tc>
          <w:tcPr>
            <w:tcW w:type="dxa" w:w="136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YES</w:t>
            </w:r>
          </w:p>
        </w:tc>
      </w:tr>
    </w:tbl>
    <w:p>
      <w:pPr>
        <w:spacing w:after="200" w:before="80"/>
      </w:pPr>
      <w:r>
        <w:rPr>
          <w:rFonts w:ascii="Georgia" w:cs="Georgia" w:eastAsia="Georgia" w:hAnsi="Georgia"/>
          <w:b/>
          <w:bCs/>
          <w:sz w:val="19"/>
          <w:szCs w:val="19"/>
        </w:rPr>
        <w:t xml:space="preserve">Table 6. </w:t>
      </w:r>
      <w:r>
        <w:rPr>
          <w:rFonts w:ascii="Georgia" w:cs="Georgia" w:eastAsia="Georgia" w:hAnsi="Georgia"/>
          <w:i/>
          <w:iCs/>
          <w:sz w:val="19"/>
          <w:szCs w:val="19"/>
        </w:rPr>
        <w:t xml:space="preserve">Fingerprint stability across all tested transforms. Jaccard similarity remains above 0.47 in every case. The disruption map is a viable fingerprint for fuzzy matching across all tested compression and transcoding paths.</w:t>
      </w:r>
    </w:p>
    <w:p>
      <w:pPr>
        <w:spacing w:after="160" w:line="300"/>
      </w:pPr>
      <w:r>
        <w:rPr>
          <w:rFonts w:ascii="Georgia" w:cs="Georgia" w:eastAsia="Georgia" w:hAnsi="Georgia"/>
          <w:b/>
          <w:bCs/>
          <w:sz w:val="22"/>
          <w:szCs w:val="22"/>
        </w:rPr>
        <w:t xml:space="preserve">Key finding: </w:t>
      </w:r>
      <w:r>
        <w:rPr>
          <w:rFonts w:ascii="Georgia" w:cs="Georgia" w:eastAsia="Georgia" w:hAnsi="Georgia"/>
          <w:sz w:val="22"/>
          <w:szCs w:val="22"/>
        </w:rPr>
        <w:t xml:space="preserve">The position-derived disruption map maintains Jaccard similarity ≥ 0.47 across ALL transforms tested: same-codec compression, cross-codec transcoding, multi-hop cascades, and multi-generation compression. The worst case (WebP Q80, Jaccard 0.472) is still well above the threshold needed for fuzzy nearest-neighbor matching in a fingerprint database with 10⁴⁰⁰ possible patterns. The attribution architecture described in Addendum D is empirically validated on synthetic data.</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4. Seed Separation</w:t>
      </w:r>
    </w:p>
    <w:p>
      <w:pPr>
        <w:spacing w:after="160" w:line="300"/>
      </w:pPr>
      <w:r>
        <w:rPr>
          <w:rFonts w:ascii="Georgia" w:cs="Georgia" w:eastAsia="Georgia" w:hAnsi="Georgia"/>
          <w:sz w:val="22"/>
          <w:szCs w:val="22"/>
        </w:rPr>
        <w:t xml:space="preserve">Test: two different seeds (42 and 137) embedding on the same 1024×1024 synthetic image. Seed A produced 307 markers. Seed B produced 290 markers. Position overlap: 75 markers (Jaccard 0.144).</w:t>
      </w:r>
    </w:p>
    <w:p>
      <w:pPr>
        <w:pStyle w:val="Heading2"/>
        <w:spacing w:after="160" w:before="300"/>
      </w:pPr>
      <w:r>
        <w:rPr>
          <w:rFonts w:ascii="Georgia" w:cs="Georgia" w:eastAsia="Georgia" w:hAnsi="Georgia"/>
          <w:b/>
          <w:bCs/>
          <w:color w:val="2C3E50"/>
          <w:sz w:val="25"/>
          <w:szCs w:val="25"/>
        </w:rPr>
        <w:t xml:space="preserve">4.1 Cross-Detection Matrix (Gen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Markers A (seed 42)</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Markers B (seed 137)</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Image A (seed 42)</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3.4×, p = 6.0 × 10⁻⁷ — DETECTED</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2.2×, p = 6.1 × 10⁻³ — DETECTED</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Image B (seed 137)</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3.0×, p = 9.2 × 10⁻⁶ — DETECTED</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3.5×, p = 2.8 × 10⁻⁷ — DETECTED</w:t>
            </w:r>
          </w:p>
        </w:tc>
      </w:tr>
    </w:tbl>
    <w:p>
      <w:pPr>
        <w:spacing w:after="200" w:before="80"/>
      </w:pPr>
      <w:r>
        <w:rPr>
          <w:rFonts w:ascii="Georgia" w:cs="Georgia" w:eastAsia="Georgia" w:hAnsi="Georgia"/>
          <w:b/>
          <w:bCs/>
          <w:sz w:val="19"/>
          <w:szCs w:val="19"/>
        </w:rPr>
        <w:t xml:space="preserve">Table 7. </w:t>
      </w:r>
      <w:r>
        <w:rPr>
          <w:rFonts w:ascii="Georgia" w:cs="Georgia" w:eastAsia="Georgia" w:hAnsi="Georgia"/>
          <w:i/>
          <w:iCs/>
          <w:sz w:val="19"/>
          <w:szCs w:val="19"/>
        </w:rPr>
        <w:t xml:space="preserve">Cross-detection matrix at Gen 0. Correct-seed detections are stronger than wrong-seed detections, but wrong-seed cross-detections also trigger. Clean separation is NOT achieved at 1024×1024.</w:t>
      </w:r>
    </w:p>
    <w:p>
      <w:pPr>
        <w:pStyle w:val="Heading2"/>
        <w:spacing w:after="160" w:before="300"/>
      </w:pPr>
      <w:r>
        <w:rPr>
          <w:rFonts w:ascii="Georgia" w:cs="Georgia" w:eastAsia="Georgia" w:hAnsi="Georgia"/>
          <w:b/>
          <w:bCs/>
          <w:color w:val="2C3E50"/>
          <w:sz w:val="25"/>
          <w:szCs w:val="25"/>
        </w:rPr>
        <w:t xml:space="preserve">4.2 After JPEG Q75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Markers A</w:t>
            </w:r>
          </w:p>
        </w:tc>
        <w:tc>
          <w:tcPr>
            <w:tcW w:type="dxa" w:w="3120"/>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Markers B</w:t>
            </w:r>
          </w:p>
        </w:tc>
      </w:tr>
      <w:tr>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Image A + Q75</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2.2×, p = 4.0 × 10⁻³ — DETECTED</w:t>
            </w:r>
          </w:p>
        </w:tc>
        <w:tc>
          <w:tcPr>
            <w:tcW w:type="dxa" w:w="3120"/>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1.7×, p = 6.1 × 10⁻² — not detected</w:t>
            </w:r>
          </w:p>
        </w:tc>
      </w:tr>
      <w:tr>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Image B + Q75</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2.1×, p = 9.0 × 10⁻³ — DETECTED</w:t>
            </w:r>
          </w:p>
        </w:tc>
        <w:tc>
          <w:tcPr>
            <w:tcW w:type="dxa" w:w="3120"/>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1.7×, p = 5.9 × 10⁻² — not detected</w:t>
            </w:r>
          </w:p>
        </w:tc>
      </w:tr>
    </w:tbl>
    <w:p>
      <w:pPr>
        <w:spacing w:after="200" w:before="80"/>
      </w:pPr>
      <w:r>
        <w:rPr>
          <w:rFonts w:ascii="Georgia" w:cs="Georgia" w:eastAsia="Georgia" w:hAnsi="Georgia"/>
          <w:b/>
          <w:bCs/>
          <w:sz w:val="19"/>
          <w:szCs w:val="19"/>
        </w:rPr>
        <w:t xml:space="preserve">Table 8. </w:t>
      </w:r>
      <w:r>
        <w:rPr>
          <w:rFonts w:ascii="Georgia" w:cs="Georgia" w:eastAsia="Georgia" w:hAnsi="Georgia"/>
          <w:i/>
          <w:iCs/>
          <w:sz w:val="19"/>
          <w:szCs w:val="19"/>
        </w:rPr>
        <w:t xml:space="preserve">After JPEG Q75, separation improves. Correct-seed detections hold. Wrong-seed cross-detections drop to borderline (p ≈ 0.06). Compression amplifies the correct signal faster than the coincidental overlap signal.</w:t>
      </w:r>
    </w:p>
    <w:p>
      <w:pPr>
        <w:spacing w:after="160" w:line="300"/>
      </w:pPr>
      <w:r>
        <w:rPr>
          <w:rFonts w:ascii="Georgia" w:cs="Georgia" w:eastAsia="Georgia" w:hAnsi="Georgia"/>
          <w:b/>
          <w:bCs/>
          <w:sz w:val="22"/>
          <w:szCs w:val="22"/>
        </w:rPr>
        <w:t xml:space="preserve">Analysis: </w:t>
      </w:r>
      <w:r>
        <w:rPr>
          <w:rFonts w:ascii="Georgia" w:cs="Georgia" w:eastAsia="Georgia" w:hAnsi="Georgia"/>
          <w:sz w:val="22"/>
          <w:szCs w:val="22"/>
        </w:rPr>
        <w:t xml:space="preserve">Seed separation at 1024×1024 is partial, not clean. The 14% position overlap (75 out of ~300 markers) between two random seeds produces enough coincidental signal to trigger weak detection at the wrong seed. This is a density problem: 300 markers in 16,384 eligible positions produces 1.8% saturation, and two random selections at 1.8% saturation overlap at ~3.3% by chance.</w:t>
      </w:r>
    </w:p>
    <w:p>
      <w:pPr>
        <w:spacing w:after="160" w:line="300"/>
      </w:pPr>
      <w:r>
        <w:rPr>
          <w:rFonts w:ascii="Georgia" w:cs="Georgia" w:eastAsia="Georgia" w:hAnsi="Georgia"/>
          <w:b/>
          <w:bCs/>
          <w:sz w:val="22"/>
          <w:szCs w:val="22"/>
        </w:rPr>
        <w:t xml:space="preserve">Predicted fix: </w:t>
      </w:r>
      <w:r>
        <w:rPr>
          <w:rFonts w:ascii="Georgia" w:cs="Georgia" w:eastAsia="Georgia" w:hAnsi="Georgia"/>
          <w:sz w:val="22"/>
          <w:szCs w:val="22"/>
        </w:rPr>
        <w:t xml:space="preserve">At 2048×2048 with 65,536 eligible positions and 1,000 markers each, saturation drops to 1.5% per seed. Expected random overlap: ~0.02%. Two seeds sharing 2–3 positions out of 1,000 instead of 75 out of 300. Clean separation should be achievable at ≥ 2048×2048 without algorithmic changes. Alternatively, reducing marker count at 1024×1024 (e.g. 150 instead of 300) reduces overlap proportionally.</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5. The Floor</w:t>
      </w:r>
    </w:p>
    <w:p>
      <w:pPr>
        <w:spacing w:after="160" w:line="300"/>
      </w:pPr>
      <w:r>
        <w:rPr>
          <w:rFonts w:ascii="Georgia" w:cs="Georgia" w:eastAsia="Georgia" w:hAnsi="Georgia"/>
          <w:sz w:val="22"/>
          <w:szCs w:val="22"/>
        </w:rPr>
        <w:t xml:space="preserve">Based on these results, the operating envelope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Image Size</w:t>
            </w:r>
          </w:p>
        </w:tc>
        <w:tc>
          <w:tcPr>
            <w:tcW w:type="dxa" w:w="3744"/>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Detection Capability</w:t>
            </w:r>
          </w:p>
        </w:tc>
        <w:tc>
          <w:tcPr>
            <w:tcW w:type="dxa" w:w="3744"/>
            <w:tcBorders>
              <w:top w:val="single" w:color="BDC3C7" w:sz="1"/>
              <w:left w:val="single" w:color="BDC3C7" w:sz="1"/>
              <w:bottom w:val="single" w:color="BDC3C7" w:sz="1"/>
              <w:right w:val="single" w:color="BDC3C7" w:sz="1"/>
            </w:tcBorders>
            <w:shd w:fill="2C3E50" w:val="clear"/>
            <w:tcMar>
              <w:top w:type="dxa" w:w="70"/>
              <w:left w:type="dxa" w:w="110"/>
              <w:bottom w:type="dxa" w:w="70"/>
              <w:right w:type="dxa" w:w="110"/>
            </w:tcMar>
          </w:tcPr>
          <w:p>
            <w:r>
              <w:rPr>
                <w:rFonts w:ascii="Arial" w:cs="Arial" w:eastAsia="Arial" w:hAnsi="Arial"/>
                <w:b/>
                <w:bCs/>
                <w:color w:val="FFFFFF"/>
                <w:sz w:val="18"/>
                <w:szCs w:val="18"/>
              </w:rPr>
              <w:t xml:space="preserve">Attribution Capability</w:t>
            </w:r>
          </w:p>
        </w:tc>
      </w:tr>
      <w:tr>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&lt; 512</w:t>
            </w:r>
          </w:p>
        </w:tc>
        <w:tc>
          <w:tcPr>
            <w:tcW w:type="dxa" w:w="3744"/>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 claims. Below detection floor.</w:t>
            </w:r>
          </w:p>
        </w:tc>
        <w:tc>
          <w:tcPr>
            <w:tcW w:type="dxa" w:w="3744"/>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No claims. Insufficient markers.</w:t>
            </w:r>
          </w:p>
        </w:tc>
      </w:tr>
      <w:tr>
        <w:tc>
          <w:tcPr>
            <w:tcW w:type="dxa" w:w="1872"/>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512×512</w:t>
            </w:r>
          </w:p>
        </w:tc>
        <w:tc>
          <w:tcPr>
            <w:tcW w:type="dxa" w:w="3744"/>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Detection floor. Amplification-only (KS signal at Gen4). Twin detection marginal.</w:t>
            </w:r>
          </w:p>
        </w:tc>
        <w:tc>
          <w:tcPr>
            <w:tcW w:type="dxa" w:w="3744"/>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Fingerprint stability untested at this size. Seed separation unlikely.</w:t>
            </w:r>
          </w:p>
        </w:tc>
      </w:tr>
      <w:tr>
        <w:tc>
          <w:tcPr>
            <w:tcW w:type="dxa" w:w="1872"/>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1024×1024</w:t>
            </w:r>
          </w:p>
        </w:tc>
        <w:tc>
          <w:tcPr>
            <w:tcW w:type="dxa" w:w="3744"/>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Fully operational. TWIN+KS at all generations Q95 through Q40.</w:t>
            </w:r>
          </w:p>
        </w:tc>
        <w:tc>
          <w:tcPr>
            <w:tcW w:type="dxa" w:w="3744"/>
            <w:tcBorders>
              <w:top w:val="single" w:color="BDC3C7" w:sz="1"/>
              <w:left w:val="single" w:color="BDC3C7" w:sz="1"/>
              <w:bottom w:val="single" w:color="BDC3C7" w:sz="1"/>
              <w:right w:val="single" w:color="BDC3C7" w:sz="1"/>
            </w:tcBorders>
            <w:shd w:fill="F7F9FA" w:val="clear"/>
            <w:tcMar>
              <w:top w:type="dxa" w:w="70"/>
              <w:left w:type="dxa" w:w="110"/>
              <w:bottom w:type="dxa" w:w="70"/>
              <w:right w:type="dxa" w:w="110"/>
            </w:tcMar>
          </w:tcPr>
          <w:p>
            <w:r>
              <w:rPr>
                <w:rFonts w:ascii="Arial" w:cs="Arial" w:eastAsia="Arial" w:hAnsi="Arial"/>
                <w:sz w:val="18"/>
                <w:szCs w:val="18"/>
              </w:rPr>
              <w:t xml:space="preserve">Fingerprint stable (Jaccard ≥ 0.47). Seed separation partial (requires ≥ 2048 for clean separation).</w:t>
            </w:r>
          </w:p>
        </w:tc>
      </w:tr>
      <w:tr>
        <w:tc>
          <w:tcPr>
            <w:tcW w:type="dxa" w:w="1872"/>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 2048×2048</w:t>
            </w:r>
          </w:p>
        </w:tc>
        <w:tc>
          <w:tcPr>
            <w:tcW w:type="dxa" w:w="3744"/>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Overwhelming. Gen4 KS p = 10⁻⁹⁶. Variance ratio 9.3×. Survives 8× resize.</w:t>
            </w:r>
          </w:p>
        </w:tc>
        <w:tc>
          <w:tcPr>
            <w:tcW w:type="dxa" w:w="3744"/>
            <w:tcBorders>
              <w:top w:val="single" w:color="BDC3C7" w:sz="1"/>
              <w:left w:val="single" w:color="BDC3C7" w:sz="1"/>
              <w:bottom w:val="single" w:color="BDC3C7" w:sz="1"/>
              <w:right w:val="single" w:color="BDC3C7" w:sz="1"/>
            </w:tcBorders>
            <w:tcMar>
              <w:top w:type="dxa" w:w="70"/>
              <w:left w:type="dxa" w:w="110"/>
              <w:bottom w:type="dxa" w:w="70"/>
              <w:right w:type="dxa" w:w="110"/>
            </w:tcMar>
          </w:tcPr>
          <w:p>
            <w:r>
              <w:rPr>
                <w:rFonts w:ascii="Arial" w:cs="Arial" w:eastAsia="Arial" w:hAnsi="Arial"/>
                <w:sz w:val="18"/>
                <w:szCs w:val="18"/>
              </w:rPr>
              <w:t xml:space="preserve">Full capability predicted. Clean seed separation. Resize + transcode survival confirmed.</w:t>
            </w:r>
          </w:p>
        </w:tc>
      </w:tr>
    </w:tbl>
    <w:p>
      <w:pPr>
        <w:spacing w:after="200" w:before="80"/>
      </w:pPr>
      <w:r>
        <w:rPr>
          <w:rFonts w:ascii="Georgia" w:cs="Georgia" w:eastAsia="Georgia" w:hAnsi="Georgia"/>
          <w:b/>
          <w:bCs/>
          <w:sz w:val="19"/>
          <w:szCs w:val="19"/>
        </w:rPr>
        <w:t xml:space="preserve">Table 9. </w:t>
      </w:r>
      <w:r>
        <w:rPr>
          <w:rFonts w:ascii="Georgia" w:cs="Georgia" w:eastAsia="Georgia" w:hAnsi="Georgia"/>
          <w:i/>
          <w:iCs/>
          <w:sz w:val="19"/>
          <w:szCs w:val="19"/>
        </w:rPr>
        <w:t xml:space="preserve">Operating envelope. The scheme reaches full operational capability at 1024×1024 and full attribution capability at 2048×2048.</w:t>
      </w:r>
    </w:p>
    <w:p>
      <w:pPr>
        <w:spacing w:after="280" w:before="280"/>
        <w:jc w:val="center"/>
      </w:pPr>
      <w:r>
        <w:rPr>
          <w:rFonts w:ascii="Georgia" w:cs="Georgia" w:eastAsia="Georgia" w:hAnsi="Georgia"/>
          <w:color w:val="BDC3C7"/>
          <w:sz w:val="24"/>
          <w:szCs w:val="24"/>
        </w:rPr>
        <w:t xml:space="preserve">•  •  •</w:t>
      </w:r>
    </w:p>
    <w:p>
      <w:pPr>
        <w:pStyle w:val="Heading1"/>
        <w:spacing w:after="200" w:before="400"/>
      </w:pPr>
      <w:r>
        <w:rPr>
          <w:rFonts w:ascii="Georgia" w:cs="Georgia" w:eastAsia="Georgia" w:hAnsi="Georgia"/>
          <w:b/>
          <w:bCs/>
          <w:color w:val="1A1A2E"/>
          <w:sz w:val="30"/>
          <w:szCs w:val="30"/>
        </w:rPr>
        <w:t xml:space="preserve">6. Design Implications</w:t>
      </w:r>
    </w:p>
    <w:p>
      <w:pPr>
        <w:spacing w:after="160" w:line="300"/>
      </w:pPr>
      <w:r>
        <w:rPr>
          <w:rFonts w:ascii="Georgia" w:cs="Georgia" w:eastAsia="Georgia" w:hAnsi="Georgia"/>
          <w:b/>
          <w:bCs/>
          <w:sz w:val="22"/>
          <w:szCs w:val="22"/>
        </w:rPr>
        <w:t xml:space="preserve">Frequency-biased marker placement. </w:t>
      </w:r>
      <w:r>
        <w:rPr>
          <w:rFonts w:ascii="Georgia" w:cs="Georgia" w:eastAsia="Georgia" w:hAnsi="Georgia"/>
          <w:sz w:val="22"/>
          <w:szCs w:val="22"/>
        </w:rPr>
        <w:t xml:space="preserve">Resize survival data suggests that markers in low-to-mid frequency image regions survive spatial resampling better than markers in high-frequency texture regions. A frequency-biased distribution (~70% low-to-mid frequency, ~30% high frequency) would optimize for both resize survival and JPEG quantization survival simultaneously. The low-frequency markers are the long-term canaries. The high-frequency markers provide maximum initial detection strength. This is a file-type profile parameter, not an architectural change.</w:t>
      </w:r>
    </w:p>
    <w:p>
      <w:pPr>
        <w:spacing w:after="160" w:line="300"/>
      </w:pPr>
      <w:r>
        <w:rPr>
          <w:rFonts w:ascii="Georgia" w:cs="Georgia" w:eastAsia="Georgia" w:hAnsi="Georgia"/>
          <w:b/>
          <w:bCs/>
          <w:sz w:val="22"/>
          <w:szCs w:val="22"/>
        </w:rPr>
        <w:t xml:space="preserve">WebP as the favorable pipeline. </w:t>
      </w:r>
      <w:r>
        <w:rPr>
          <w:rFonts w:ascii="Georgia" w:cs="Georgia" w:eastAsia="Georgia" w:hAnsi="Georgia"/>
          <w:sz w:val="22"/>
          <w:szCs w:val="22"/>
        </w:rPr>
        <w:t xml:space="preserve">Across all tests, WebP consistently outperforms JPEG for canary survival. The cross-codec boundary amplification effect persists through resize. The practical implication: the CDN pipeline (resize + WebP transcode) that most platforms apply automatically is more favorable to the scheme than same-codec re-encoding. The modern web’s infrastructure preferences are aligned with the scheme’s survival characteristics.</w:t>
      </w:r>
    </w:p>
    <w:p>
      <w:pPr>
        <w:spacing w:after="160" w:line="300"/>
      </w:pPr>
      <w:r>
        <w:rPr>
          <w:rFonts w:ascii="Georgia" w:cs="Georgia" w:eastAsia="Georgia" w:hAnsi="Georgia"/>
          <w:b/>
          <w:bCs/>
          <w:sz w:val="22"/>
          <w:szCs w:val="22"/>
        </w:rPr>
        <w:t xml:space="preserve">4096×4096 embedding bug. </w:t>
      </w:r>
      <w:r>
        <w:rPr>
          <w:rFonts w:ascii="Georgia" w:cs="Georgia" w:eastAsia="Georgia" w:hAnsi="Georgia"/>
          <w:sz w:val="22"/>
          <w:szCs w:val="22"/>
        </w:rPr>
        <w:t xml:space="preserve">The block-center offset filter in compound_markers.py rejects all positions at 4096×4096. This is an engineering issue, not a fundamental limitation. The filter’s bounds check must be updated for large images where the grid-offset calculation exceeds current thresholds.</w:t>
      </w:r>
    </w:p>
    <w:p>
      <w:pPr>
        <w:spacing w:after="280" w:before="280"/>
        <w:jc w:val="center"/>
      </w:pPr>
      <w:r>
        <w:rPr>
          <w:rFonts w:ascii="Georgia" w:cs="Georgia" w:eastAsia="Georgia" w:hAnsi="Georgia"/>
          <w:color w:val="BDC3C7"/>
          <w:sz w:val="24"/>
          <w:szCs w:val="24"/>
        </w:rPr>
        <w:t xml:space="preserve">•  •  •</w:t>
      </w:r>
    </w:p>
    <w:p>
      <w:pPr>
        <w:spacing w:before="100"/>
      </w:pPr>
    </w:p>
    <w:p>
      <w:pPr>
        <w:pBdr>
          <w:left w:val="single" w:color="BDC3C7" w:sz="3" w:space="12"/>
        </w:pBdr>
        <w:spacing w:after="200" w:line="300"/>
        <w:ind w:left="600" w:right="600"/>
      </w:pPr>
      <w:r>
        <w:rPr>
          <w:rFonts w:ascii="Georgia" w:cs="Georgia" w:eastAsia="Georgia" w:hAnsi="Georgia"/>
          <w:i/>
          <w:iCs/>
          <w:color w:val="555555"/>
          <w:sz w:val="21"/>
          <w:szCs w:val="21"/>
        </w:rPr>
        <w:t xml:space="preserve">All results are from a single synthetic image per size class. These are measurements, not proofs. DIV2K validation on 100–800 real photographs is the gate between hypothesis and finding. The harness is built. The download is running. The floor is mapped. The data will either hold or it won’t.</w:t>
      </w:r>
    </w:p>
    <w:p>
      <w:pPr>
        <w:spacing w:before="400"/>
      </w:pPr>
    </w:p>
    <w:p>
      <w:r>
        <w:rPr>
          <w:rFonts w:ascii="Georgia" w:cs="Georgia" w:eastAsia="Georgia" w:hAnsi="Georgia"/>
          <w:color w:val="777777"/>
          <w:sz w:val="19"/>
          <w:szCs w:val="19"/>
        </w:rPr>
        <w:t xml:space="preserve">Jeremy Pickett — SignalDelta / Axiomatic Fictions — March 18, 2026</w:t>
      </w:r>
    </w:p>
    <w:p>
      <w:r>
        <w:rPr>
          <w:rFonts w:ascii="Georgia" w:cs="Georgia" w:eastAsia="Georgia" w:hAnsi="Georgia"/>
          <w:i/>
          <w:iCs/>
          <w:color w:val="777777"/>
          <w:sz w:val="19"/>
          <w:szCs w:val="19"/>
        </w:rPr>
        <w:t xml:space="preserve">Co-developed with Claude (Anthropic). Human-directed, AI-assisted.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EXPERIMENTAL RESULTS — SCALE &amp; RESIZE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2E"/>
      <w:sz w:val="30"/>
      <w:szCs w:val="30"/>
    </w:rPr>
  </w:style>
  <w:style w:type="paragraph" w:styleId="Heading2">
    <w:name w:val="Heading 2"/>
    <w:basedOn w:val="Normal"/>
    <w:next w:val="Normal"/>
    <w:qFormat/>
    <w:pPr>
      <w:spacing w:after="160" w:before="300"/>
      <w:outlineLvl w:val="1"/>
    </w:pPr>
    <w:rPr>
      <w:rFonts w:ascii="Georgia" w:cs="Georgia" w:eastAsia="Georgia" w:hAnsi="Georgia"/>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2026-03-18T22:39:17.219Z</dcterms:created>
  <dcterms:modified xsi:type="dcterms:W3CDTF">2026-03-18T22:39:17.222Z</dcterms:modified>
</cp:coreProperties>
</file>

<file path=docProps/custom.xml><?xml version="1.0" encoding="utf-8"?>
<Properties xmlns="http://schemas.openxmlformats.org/officeDocument/2006/custom-properties" xmlns:vt="http://schemas.openxmlformats.org/officeDocument/2006/docPropsVTypes"/>
</file>