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32"/>
          <w:szCs w:val="32"/>
        </w:rPr>
        <w:t xml:space="preserve">PAPER ARCHITECTURE</w:t>
      </w:r>
    </w:p>
    <w:p>
      <w:pPr>
        <w:spacing w:after="60"/>
        <w:jc w:val="center"/>
      </w:pPr>
      <w:r>
        <w:rPr>
          <w:rFonts w:ascii="Georgia" w:cs="Georgia" w:eastAsia="Georgia" w:hAnsi="Georgia"/>
          <w:i/>
          <w:iCs/>
          <w:color w:val="555555"/>
          <w:sz w:val="28"/>
          <w:szCs w:val="28"/>
        </w:rPr>
        <w:t xml:space="preserve">Granite Under Sandstone</w:t>
      </w:r>
    </w:p>
    <w:p>
      <w:pPr>
        <w:spacing w:after="60"/>
        <w:jc w:val="center"/>
      </w:pPr>
      <w:r>
        <w:rPr>
          <w:rFonts w:ascii="Georgia" w:cs="Georgia" w:eastAsia="Georgia" w:hAnsi="Georgia"/>
          <w:i/>
          <w:iCs/>
          <w:color w:val="777777"/>
          <w:sz w:val="24"/>
          <w:szCs w:val="24"/>
        </w:rPr>
        <w:t xml:space="preserve">A Pre-Cryptographic Evidentiary Substrate for Transformed Media</w:t>
      </w:r>
    </w:p>
    <w:p>
      <w:pPr>
        <w:spacing w:after="120"/>
        <w:jc w:val="center"/>
      </w:pPr>
      <w:r>
        <w:rPr>
          <w:rFonts w:ascii="Georgia" w:cs="Georgia" w:eastAsia="Georgia" w:hAnsi="Georgia"/>
          <w:color w:val="999999"/>
          <w:sz w:val="22"/>
          <w:szCs w:val="22"/>
        </w:rPr>
        <w:t xml:space="preserve">Blueprint for the Main Paper and Supporting Documents</w:t>
      </w:r>
    </w:p>
    <w:p>
      <w:pPr>
        <w:spacing w:after="400"/>
        <w:jc w:val="center"/>
      </w:pPr>
      <w:r>
        <w:rPr>
          <w:rFonts w:ascii="Georgia" w:cs="Georgia" w:eastAsia="Georgia" w:hAnsi="Georgia"/>
          <w:color w:val="999999"/>
          <w:sz w:val="20"/>
          <w:szCs w:val="20"/>
        </w:rPr>
        <w:t xml:space="preserve">Jeremy Pickett — SignalDelta / Axiomatic Fictions — March 2026</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The Design Principle</w:t>
      </w:r>
    </w:p>
    <w:p>
      <w:pPr>
        <w:spacing w:after="160" w:line="300"/>
      </w:pPr>
      <w:r>
        <w:rPr>
          <w:rFonts w:ascii="Georgia" w:cs="Georgia" w:eastAsia="Georgia" w:hAnsi="Georgia"/>
          <w:sz w:val="22"/>
          <w:szCs w:val="22"/>
        </w:rPr>
        <w:t xml:space="preserve">The main paper must do one thing: make the reader raise their hand and say “what about…?”</w:t>
      </w:r>
    </w:p>
    <w:p>
      <w:pPr>
        <w:spacing w:after="160" w:line="300"/>
      </w:pPr>
      <w:r>
        <w:rPr>
          <w:rFonts w:ascii="Georgia" w:cs="Georgia" w:eastAsia="Georgia" w:hAnsi="Georgia"/>
          <w:sz w:val="22"/>
          <w:szCs w:val="22"/>
        </w:rPr>
        <w:t xml:space="preserve">Every objection the reader raises should already be answered in a supporting document. The main paper is the provocation. The addenda are the defense. The reader who stops at the main paper understands the scheme. The reader who follows the addenda understands the depth.</w:t>
      </w:r>
    </w:p>
    <w:p>
      <w:pPr>
        <w:spacing w:after="160" w:line="300"/>
      </w:pPr>
      <w:r>
        <w:rPr>
          <w:rFonts w:ascii="Georgia" w:cs="Georgia" w:eastAsia="Georgia" w:hAnsi="Georgia"/>
          <w:sz w:val="22"/>
          <w:szCs w:val="22"/>
        </w:rPr>
        <w:t xml:space="preserve">The paper does not oversell. It does not under-claim. It states exactly what is demonstrated, flags exactly what is not, and lets the data speak. The paper is structured so that each section ends with a natural objection that the next section or addendum addresses.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Main Paper Structure</w:t>
      </w:r>
    </w:p>
    <w:p>
      <w:pPr>
        <w:pStyle w:val="Heading2"/>
        <w:spacing w:after="160" w:before="300"/>
      </w:pPr>
      <w:r>
        <w:rPr>
          <w:rFonts w:ascii="Georgia" w:cs="Georgia" w:eastAsia="Georgia" w:hAnsi="Georgia"/>
          <w:b/>
          <w:bCs/>
          <w:color w:val="2C3E50"/>
          <w:sz w:val="25"/>
          <w:szCs w:val="25"/>
        </w:rPr>
        <w:t xml:space="preserve">Title</w:t>
      </w:r>
    </w:p>
    <w:p>
      <w:pPr>
        <w:spacing w:after="160" w:line="300"/>
      </w:pPr>
      <w:r>
        <w:rPr>
          <w:rFonts w:ascii="Georgia" w:cs="Georgia" w:eastAsia="Georgia" w:hAnsi="Georgia"/>
          <w:b/>
          <w:bCs/>
          <w:sz w:val="22"/>
          <w:szCs w:val="22"/>
        </w:rPr>
        <w:t xml:space="preserve">Granite Under Sandstone: Compression-Amplified Provenance Signals in Transformed Media</w:t>
      </w:r>
    </w:p>
    <w:p>
      <w:pPr>
        <w:spacing w:after="160" w:line="300"/>
      </w:pPr>
      <w:r>
        <w:rPr>
          <w:rFonts w:ascii="Georgia" w:cs="Georgia" w:eastAsia="Georgia" w:hAnsi="Georgia"/>
          <w:i/>
          <w:iCs/>
          <w:sz w:val="22"/>
          <w:szCs w:val="22"/>
        </w:rPr>
        <w:t xml:space="preserve">Subtitle: A pre-cryptographic evidentiary substrate for digital objects under adversarial transformation</w:t>
      </w:r>
    </w:p>
    <w:p>
      <w:pPr>
        <w:pStyle w:val="Heading2"/>
        <w:spacing w:after="160" w:before="300"/>
      </w:pPr>
      <w:r>
        <w:rPr>
          <w:rFonts w:ascii="Georgia" w:cs="Georgia" w:eastAsia="Georgia" w:hAnsi="Georgia"/>
          <w:b/>
          <w:bCs/>
          <w:color w:val="2C3E50"/>
          <w:sz w:val="25"/>
          <w:szCs w:val="25"/>
        </w:rPr>
        <w:t xml:space="preserve">Section 1 — The Problem (1 page)</w:t>
      </w:r>
    </w:p>
    <w:p>
      <w:pPr>
        <w:spacing w:after="160" w:line="300"/>
      </w:pPr>
      <w:r>
        <w:rPr>
          <w:rFonts w:ascii="Georgia" w:cs="Georgia" w:eastAsia="Georgia" w:hAnsi="Georgia"/>
          <w:sz w:val="22"/>
          <w:szCs w:val="22"/>
        </w:rPr>
        <w:t xml:space="preserve">The cost of creating original work is borne by the creator. The cost of consuming it at corpus scale without attribution has been driven to zero. Every existing provenance solution requires the platform to cooperate or a central authority to enforce. Both fail when the adversary opts out.</w:t>
      </w:r>
    </w:p>
    <w:p>
      <w:pPr>
        <w:spacing w:after="160" w:line="300"/>
      </w:pPr>
      <w:r>
        <w:rPr>
          <w:rFonts w:ascii="Georgia" w:cs="Georgia" w:eastAsia="Georgia" w:hAnsi="Georgia"/>
          <w:b/>
          <w:bCs/>
          <w:sz w:val="22"/>
          <w:szCs w:val="22"/>
        </w:rPr>
        <w:t xml:space="preserve">The one-sentence thesis: </w:t>
      </w:r>
      <w:r>
        <w:rPr>
          <w:rFonts w:ascii="Georgia" w:cs="Georgia" w:eastAsia="Georgia" w:hAnsi="Georgia"/>
          <w:sz w:val="22"/>
          <w:szCs w:val="22"/>
        </w:rPr>
        <w:t xml:space="preserve">We describe a statistical perturbation scheme that embeds provenance signal into digital media files, survives and amplifies under lossy compression and transcoding, requires no infrastructure beyond the file itself, and collapses plausible deniability at scale.</w:t>
      </w:r>
    </w:p>
    <w:p>
      <w:pPr>
        <w:spacing w:after="160" w:line="300"/>
      </w:pPr>
      <w:r>
        <w:rPr>
          <w:rFonts w:ascii="Georgia" w:cs="Georgia" w:eastAsia="Georgia" w:hAnsi="Georgia"/>
          <w:i/>
          <w:iCs/>
          <w:sz w:val="22"/>
          <w:szCs w:val="22"/>
        </w:rPr>
        <w:t xml:space="preserve">Reader’s hand goes up: “How is this different from watermarking?”</w:t>
      </w:r>
    </w:p>
    <w:p>
      <w:pPr>
        <w:pStyle w:val="Heading2"/>
        <w:spacing w:after="160" w:before="300"/>
      </w:pPr>
      <w:r>
        <w:rPr>
          <w:rFonts w:ascii="Georgia" w:cs="Georgia" w:eastAsia="Georgia" w:hAnsi="Georgia"/>
          <w:b/>
          <w:bCs/>
          <w:color w:val="2C3E50"/>
          <w:sz w:val="25"/>
          <w:szCs w:val="25"/>
        </w:rPr>
        <w:t xml:space="preserve">Section 2 — What This Is and Is Not (1 page)</w:t>
      </w:r>
    </w:p>
    <w:p>
      <w:pPr>
        <w:spacing w:after="160" w:line="300"/>
      </w:pPr>
      <w:r>
        <w:rPr>
          <w:rFonts w:ascii="Georgia" w:cs="Georgia" w:eastAsia="Georgia" w:hAnsi="Georgia"/>
          <w:sz w:val="22"/>
          <w:szCs w:val="22"/>
        </w:rPr>
        <w:t xml:space="preserve">Not watermarking (encodes a relationship, detects a distribution, not a mark). Not steganography (hides nothing; the signal is a statistical property detectable by anyone). Not DRM (enforces nothing; produces measurements). Not a certificate authority (no one issues or revokes). A pre-cryptographic evidentiary substrate: below cryptography, above raw pixels, providing evidence not enforcement.</w:t>
      </w:r>
    </w:p>
    <w:p>
      <w:pPr>
        <w:spacing w:after="160" w:line="300"/>
      </w:pPr>
      <w:r>
        <w:rPr>
          <w:rFonts w:ascii="Georgia" w:cs="Georgia" w:eastAsia="Georgia" w:hAnsi="Georgia"/>
          <w:sz w:val="22"/>
          <w:szCs w:val="22"/>
        </w:rPr>
        <w:t xml:space="preserve">The four observable states: A (no signal), B (signal coherent), C (signal degraded, benign transforms), D (signal interfered, deliberate suppression). The scheme classifies handling behavior. It does not judge.</w:t>
      </w:r>
    </w:p>
    <w:p>
      <w:pPr>
        <w:spacing w:after="160" w:line="300"/>
      </w:pPr>
      <w:r>
        <w:rPr>
          <w:rFonts w:ascii="Georgia" w:cs="Georgia" w:eastAsia="Georgia" w:hAnsi="Georgia"/>
          <w:i/>
          <w:iCs/>
          <w:sz w:val="22"/>
          <w:szCs w:val="22"/>
        </w:rPr>
        <w:t xml:space="preserve">Reader’s hand goes up: “What’s the mechanism?”</w:t>
      </w:r>
    </w:p>
    <w:p>
      <w:pPr>
        <w:pStyle w:val="Heading2"/>
        <w:spacing w:after="160" w:before="300"/>
      </w:pPr>
      <w:r>
        <w:rPr>
          <w:rFonts w:ascii="Georgia" w:cs="Georgia" w:eastAsia="Georgia" w:hAnsi="Georgia"/>
          <w:b/>
          <w:bCs/>
          <w:color w:val="2C3E50"/>
          <w:sz w:val="25"/>
          <w:szCs w:val="25"/>
        </w:rPr>
        <w:t xml:space="preserve">Section 3 — The Mechanism (3 pages)</w:t>
      </w:r>
    </w:p>
    <w:p>
      <w:pPr>
        <w:spacing w:after="160" w:line="300"/>
      </w:pPr>
      <w:r>
        <w:rPr>
          <w:rFonts w:ascii="Georgia" w:cs="Georgia" w:eastAsia="Georgia" w:hAnsi="Georgia"/>
          <w:sz w:val="22"/>
          <w:szCs w:val="22"/>
        </w:rPr>
        <w:t xml:space="preserve">The three layers: DQT primality (container, O(1) scan), twin prime-gap markers (content, statistical detection), Douglas Rule (lossless sentinel). The thermodynamic tax: imposing local entropy reduction that is cheap to create and expensive to destroy. File-type profiles push intelligence to the injector. The detector stays naive.</w:t>
      </w:r>
    </w:p>
    <w:p>
      <w:pPr>
        <w:spacing w:after="160" w:line="300"/>
      </w:pPr>
      <w:r>
        <w:rPr>
          <w:rFonts w:ascii="Georgia" w:cs="Georgia" w:eastAsia="Georgia" w:hAnsi="Georgia"/>
          <w:sz w:val="22"/>
          <w:szCs w:val="22"/>
        </w:rPr>
        <w:t xml:space="preserve">Kerckhoffs’s principle stated explicitly: the adversary knows everything except the 256-bit seed. The algorithm is public. The detection is public. The only secret is the seed.</w:t>
      </w:r>
    </w:p>
    <w:p>
      <w:pPr>
        <w:spacing w:after="160" w:line="300"/>
      </w:pPr>
      <w:r>
        <w:rPr>
          <w:rFonts w:ascii="Georgia" w:cs="Georgia" w:eastAsia="Georgia" w:hAnsi="Georgia"/>
          <w:i/>
          <w:iCs/>
          <w:sz w:val="22"/>
          <w:szCs w:val="22"/>
        </w:rPr>
        <w:t xml:space="preserve">Reader’s hand goes up: “Does it survive compression?”</w:t>
      </w:r>
    </w:p>
    <w:p>
      <w:pPr>
        <w:pStyle w:val="Heading2"/>
        <w:spacing w:after="160" w:before="300"/>
      </w:pPr>
      <w:r>
        <w:rPr>
          <w:rFonts w:ascii="Georgia" w:cs="Georgia" w:eastAsia="Georgia" w:hAnsi="Georgia"/>
          <w:b/>
          <w:bCs/>
          <w:color w:val="2C3E50"/>
          <w:sz w:val="25"/>
          <w:szCs w:val="25"/>
        </w:rPr>
        <w:t xml:space="preserve">Section 4 — The Amplification Discovery (3 pages)</w:t>
      </w:r>
    </w:p>
    <w:p>
      <w:pPr>
        <w:spacing w:after="160" w:line="300"/>
      </w:pPr>
      <w:r>
        <w:rPr>
          <w:rFonts w:ascii="Georgia" w:cs="Georgia" w:eastAsia="Georgia" w:hAnsi="Georgia"/>
          <w:b/>
          <w:bCs/>
          <w:sz w:val="22"/>
          <w:szCs w:val="22"/>
        </w:rPr>
        <w:t xml:space="preserve">This is the central contribution.</w:t>
      </w:r>
    </w:p>
    <w:p>
      <w:pPr>
        <w:spacing w:after="160" w:line="300"/>
      </w:pPr>
      <w:r>
        <w:rPr>
          <w:rFonts w:ascii="Georgia" w:cs="Georgia" w:eastAsia="Georgia" w:hAnsi="Georgia"/>
          <w:sz w:val="22"/>
          <w:szCs w:val="22"/>
        </w:rPr>
        <w:t xml:space="preserve">The perturbation does not merely survive lossy compression. It amplifies. Block-based transform coding penalizes locally complex regions more heavily than smooth regions. Marker positions are locally complex by construction. Each compression generation amplifies the variance anomaly at marker positions relative to smooth surroundings. The granite under the sandstone.</w:t>
      </w:r>
    </w:p>
    <w:p>
      <w:pPr>
        <w:spacing w:after="160" w:line="300"/>
      </w:pPr>
      <w:r>
        <w:rPr>
          <w:rFonts w:ascii="Georgia" w:cs="Georgia" w:eastAsia="Georgia" w:hAnsi="Georgia"/>
          <w:sz w:val="22"/>
          <w:szCs w:val="22"/>
        </w:rPr>
        <w:t xml:space="preserve">Empirical results: JPEG cascade on synthetic images. KS p-values. Variance ratios. The non-monotonic detection curve. The cross-codec boundary result (JPEG → WebP, six orders of magnitude improvement). Scale testing (512 through 2048). The operating envelope.</w:t>
      </w:r>
    </w:p>
    <w:p>
      <w:pPr>
        <w:spacing w:after="160" w:line="300"/>
      </w:pPr>
      <w:r>
        <w:rPr>
          <w:rFonts w:ascii="Georgia" w:cs="Georgia" w:eastAsia="Georgia" w:hAnsi="Georgia"/>
          <w:sz w:val="22"/>
          <w:szCs w:val="22"/>
        </w:rPr>
        <w:t xml:space="preserve">[DIV2K results go here. This section is gated on real-photograph validation.]</w:t>
      </w:r>
    </w:p>
    <w:p>
      <w:pPr>
        <w:spacing w:after="160" w:line="300"/>
      </w:pPr>
      <w:r>
        <w:rPr>
          <w:rFonts w:ascii="Georgia" w:cs="Georgia" w:eastAsia="Georgia" w:hAnsi="Georgia"/>
          <w:i/>
          <w:iCs/>
          <w:sz w:val="22"/>
          <w:szCs w:val="22"/>
        </w:rPr>
        <w:t xml:space="preserve">Reader’s hand goes up: “What about video? What about resize? What about the real-world pipeline?”</w:t>
      </w:r>
    </w:p>
    <w:p>
      <w:pPr>
        <w:pStyle w:val="Heading2"/>
        <w:spacing w:after="160" w:before="300"/>
      </w:pPr>
      <w:r>
        <w:rPr>
          <w:rFonts w:ascii="Georgia" w:cs="Georgia" w:eastAsia="Georgia" w:hAnsi="Georgia"/>
          <w:b/>
          <w:bCs/>
          <w:color w:val="2C3E50"/>
          <w:sz w:val="25"/>
          <w:szCs w:val="25"/>
        </w:rPr>
        <w:t xml:space="preserve">Section 5 — The Survival Landscape (2 pages)</w:t>
      </w:r>
    </w:p>
    <w:p>
      <w:pPr>
        <w:spacing w:after="160" w:line="300"/>
      </w:pPr>
      <w:r>
        <w:rPr>
          <w:rFonts w:ascii="Georgia" w:cs="Georgia" w:eastAsia="Georgia" w:hAnsi="Georgia"/>
          <w:sz w:val="22"/>
          <w:szCs w:val="22"/>
        </w:rPr>
        <w:t xml:space="preserve">Summary of cascade survival. Resize survival (the Lanczos concentration effect). Cross-codec survival. The CDN pipeline as unwitting amplifier. Reference to the cascading canary survival map. The floor: 512 for detection, 1024 for full operation, 2048 for overwhelming evidence.</w:t>
      </w:r>
    </w:p>
    <w:p>
      <w:pPr>
        <w:spacing w:after="160" w:line="300"/>
      </w:pPr>
      <w:r>
        <w:rPr>
          <w:rFonts w:ascii="Georgia" w:cs="Georgia" w:eastAsia="Georgia" w:hAnsi="Georgia"/>
          <w:sz w:val="22"/>
          <w:szCs w:val="22"/>
        </w:rPr>
        <w:t xml:space="preserve">Compression acts as a discriminator, not just a channel. The correct-seed signal amplifies faster than coincidental overlap.</w:t>
      </w:r>
    </w:p>
    <w:p>
      <w:pPr>
        <w:spacing w:after="160" w:line="300"/>
      </w:pPr>
      <w:r>
        <w:rPr>
          <w:rFonts w:ascii="Georgia" w:cs="Georgia" w:eastAsia="Georgia" w:hAnsi="Georgia"/>
          <w:i/>
          <w:iCs/>
          <w:sz w:val="22"/>
          <w:szCs w:val="22"/>
        </w:rPr>
        <w:t xml:space="preserve">Reader’s hand goes up: “Provenance is nice, but who does it belong to?”</w:t>
      </w:r>
    </w:p>
    <w:p>
      <w:pPr>
        <w:pStyle w:val="Heading2"/>
        <w:spacing w:after="160" w:before="300"/>
      </w:pPr>
      <w:r>
        <w:rPr>
          <w:rFonts w:ascii="Georgia" w:cs="Georgia" w:eastAsia="Georgia" w:hAnsi="Georgia"/>
          <w:b/>
          <w:bCs/>
          <w:color w:val="2C3E50"/>
          <w:sz w:val="25"/>
          <w:szCs w:val="25"/>
        </w:rPr>
        <w:t xml:space="preserve">Section 6 — From Provenance to Attribution (2 pages)</w:t>
      </w:r>
    </w:p>
    <w:p>
      <w:pPr>
        <w:spacing w:after="160" w:line="300"/>
      </w:pPr>
      <w:r>
        <w:rPr>
          <w:rFonts w:ascii="Georgia" w:cs="Georgia" w:eastAsia="Georgia" w:hAnsi="Georgia"/>
          <w:sz w:val="22"/>
          <w:szCs w:val="22"/>
        </w:rPr>
        <w:t xml:space="preserve">The identity is in the positions. C(4000, 200) ≈ 10⁴⁰⁰. Seed-based derivation (BIP-32 analog). Three layers of identity: signal (free, physics), fingerprint (registration, pseudonymous), identity (reveal, creator’s choice). The matching service as Janet: provides answers, makes no judgments, has no authority.</w:t>
      </w:r>
    </w:p>
    <w:p>
      <w:pPr>
        <w:spacing w:after="160" w:line="300"/>
      </w:pPr>
      <w:r>
        <w:rPr>
          <w:rFonts w:ascii="Georgia" w:cs="Georgia" w:eastAsia="Georgia" w:hAnsi="Georgia"/>
          <w:sz w:val="22"/>
          <w:szCs w:val="22"/>
        </w:rPr>
        <w:t xml:space="preserve">Fingerprint stability: Jaccard ≥ 0.47 across all transforms. The disruption map is a viable attribution substrate.</w:t>
      </w:r>
    </w:p>
    <w:p>
      <w:pPr>
        <w:spacing w:after="160" w:line="300"/>
      </w:pPr>
      <w:r>
        <w:rPr>
          <w:rFonts w:ascii="Georgia" w:cs="Georgia" w:eastAsia="Georgia" w:hAnsi="Georgia"/>
          <w:i/>
          <w:iCs/>
          <w:sz w:val="22"/>
          <w:szCs w:val="22"/>
        </w:rPr>
        <w:t xml:space="preserve">Reader’s hand goes up: “Who runs the matching service? Why would they?”</w:t>
      </w:r>
    </w:p>
    <w:p>
      <w:pPr>
        <w:pStyle w:val="Heading2"/>
        <w:spacing w:after="160" w:before="300"/>
      </w:pPr>
      <w:r>
        <w:rPr>
          <w:rFonts w:ascii="Georgia" w:cs="Georgia" w:eastAsia="Georgia" w:hAnsi="Georgia"/>
          <w:b/>
          <w:bCs/>
          <w:color w:val="2C3E50"/>
          <w:sz w:val="25"/>
          <w:szCs w:val="25"/>
        </w:rPr>
        <w:t xml:space="preserve">Section 7 — The Economics (2 pages)</w:t>
      </w:r>
    </w:p>
    <w:p>
      <w:pPr>
        <w:spacing w:after="160" w:line="300"/>
      </w:pPr>
      <w:r>
        <w:rPr>
          <w:rFonts w:ascii="Georgia" w:cs="Georgia" w:eastAsia="Georgia" w:hAnsi="Georgia"/>
          <w:b/>
          <w:bCs/>
          <w:sz w:val="22"/>
          <w:szCs w:val="22"/>
        </w:rPr>
        <w:t xml:space="preserve">The mechanism design argument. The closing of Assumption Zero.</w:t>
      </w:r>
    </w:p>
    <w:p>
      <w:pPr>
        <w:spacing w:after="160" w:line="300"/>
      </w:pPr>
      <w:r>
        <w:rPr>
          <w:rFonts w:ascii="Georgia" w:cs="Georgia" w:eastAsia="Georgia" w:hAnsi="Georgia"/>
          <w:sz w:val="22"/>
          <w:szCs w:val="22"/>
        </w:rPr>
        <w:t xml:space="preserve">The scheme protects creators by making it profitable for third parties to protect creators. Matching services monetize on the detection side. Platforms pay because legal exposure exceeds API cost. Creators register for free because the service wants the largest database. The adversary’s optimal move is avoidance. Nobody needs to be altruistic. The Nash equilibrium is creator protection.</w:t>
      </w:r>
    </w:p>
    <w:p>
      <w:pPr>
        <w:spacing w:after="160" w:line="300"/>
      </w:pPr>
      <w:r>
        <w:rPr>
          <w:rFonts w:ascii="Georgia" w:cs="Georgia" w:eastAsia="Georgia" w:hAnsi="Georgia"/>
          <w:sz w:val="22"/>
          <w:szCs w:val="22"/>
        </w:rPr>
        <w:t xml:space="preserve">Caring does not scale. Incentives do.</w:t>
      </w:r>
    </w:p>
    <w:p>
      <w:pPr>
        <w:spacing w:after="160" w:line="300"/>
      </w:pPr>
      <w:r>
        <w:rPr>
          <w:rFonts w:ascii="Georgia" w:cs="Georgia" w:eastAsia="Georgia" w:hAnsi="Georgia"/>
          <w:sz w:val="22"/>
          <w:szCs w:val="22"/>
        </w:rPr>
        <w:t xml:space="preserve">The Someone Else’s Problem field: every actor ignores the creator’s problem and solves their own. The creator’s problem gets solved anyway.</w:t>
      </w:r>
    </w:p>
    <w:p>
      <w:pPr>
        <w:spacing w:after="160" w:line="300"/>
      </w:pPr>
      <w:r>
        <w:rPr>
          <w:rFonts w:ascii="Georgia" w:cs="Georgia" w:eastAsia="Georgia" w:hAnsi="Georgia"/>
          <w:i/>
          <w:iCs/>
          <w:sz w:val="22"/>
          <w:szCs w:val="22"/>
        </w:rPr>
        <w:t xml:space="preserve">Reader’s hand goes up: “What about attacks?”</w:t>
      </w:r>
    </w:p>
    <w:p>
      <w:pPr>
        <w:pStyle w:val="Heading2"/>
        <w:spacing w:after="160" w:before="300"/>
      </w:pPr>
      <w:r>
        <w:rPr>
          <w:rFonts w:ascii="Georgia" w:cs="Georgia" w:eastAsia="Georgia" w:hAnsi="Georgia"/>
          <w:b/>
          <w:bCs/>
          <w:color w:val="2C3E50"/>
          <w:sz w:val="25"/>
          <w:szCs w:val="25"/>
        </w:rPr>
        <w:t xml:space="preserve">Section 8 — Threat Model and Known Limitations (2 pages)</w:t>
      </w:r>
    </w:p>
    <w:p>
      <w:pPr>
        <w:spacing w:after="160" w:line="300"/>
      </w:pPr>
      <w:r>
        <w:rPr>
          <w:rFonts w:ascii="Georgia" w:cs="Georgia" w:eastAsia="Georgia" w:hAnsi="Georgia"/>
          <w:sz w:val="22"/>
          <w:szCs w:val="22"/>
        </w:rPr>
        <w:t xml:space="preserve">Kerckhoffs’s principle restated. The attack economics: no attack is free AND effective AND undetectable. Crop is an honest limitation. Rotation survives to 7°. The Ship of Theseus (97.5% pixels replaced, Jaccard 0.72). AI reconstruction is the one attack that works, and it’s the one attack that creates a different image.</w:t>
      </w:r>
    </w:p>
    <w:p>
      <w:pPr>
        <w:spacing w:after="160" w:line="300"/>
      </w:pPr>
      <w:r>
        <w:rPr>
          <w:rFonts w:ascii="Georgia" w:cs="Georgia" w:eastAsia="Georgia" w:hAnsi="Georgia"/>
          <w:sz w:val="22"/>
          <w:szCs w:val="22"/>
        </w:rPr>
        <w:t xml:space="preserve">The seven dragons of seed management: stated, not solved. Total compromise, no revocation, no forward secrecy. The tradeoffs are the cost of decentralization. The cost is acknowledged.</w:t>
      </w:r>
    </w:p>
    <w:p>
      <w:pPr>
        <w:spacing w:after="160" w:line="300"/>
      </w:pPr>
      <w:r>
        <w:rPr>
          <w:rFonts w:ascii="Georgia" w:cs="Georgia" w:eastAsia="Georgia" w:hAnsi="Georgia"/>
          <w:sz w:val="22"/>
          <w:szCs w:val="22"/>
        </w:rPr>
        <w:t xml:space="preserve">The signal is not fragile. The ambiguity is.</w:t>
      </w:r>
    </w:p>
    <w:p>
      <w:pPr>
        <w:spacing w:after="160" w:line="300"/>
      </w:pPr>
      <w:r>
        <w:rPr>
          <w:rFonts w:ascii="Georgia" w:cs="Georgia" w:eastAsia="Georgia" w:hAnsi="Georgia"/>
          <w:i/>
          <w:iCs/>
          <w:sz w:val="22"/>
          <w:szCs w:val="22"/>
        </w:rPr>
        <w:t xml:space="preserve">Reader’s hand goes up: “But what about MY specific concern?”</w:t>
      </w:r>
    </w:p>
    <w:p>
      <w:pPr>
        <w:pStyle w:val="Heading2"/>
        <w:spacing w:after="160" w:before="300"/>
      </w:pPr>
      <w:r>
        <w:rPr>
          <w:rFonts w:ascii="Georgia" w:cs="Georgia" w:eastAsia="Georgia" w:hAnsi="Georgia"/>
          <w:b/>
          <w:bCs/>
          <w:color w:val="2C3E50"/>
          <w:sz w:val="25"/>
          <w:szCs w:val="25"/>
        </w:rPr>
        <w:t xml:space="preserve">Section 9 — Conclusion (1 page)</w:t>
      </w:r>
    </w:p>
    <w:p>
      <w:pPr>
        <w:spacing w:after="160" w:line="300"/>
      </w:pPr>
      <w:r>
        <w:rPr>
          <w:rFonts w:ascii="Georgia" w:cs="Georgia" w:eastAsia="Georgia" w:hAnsi="Georgia"/>
          <w:sz w:val="22"/>
          <w:szCs w:val="22"/>
        </w:rPr>
        <w:t xml:space="preserve">Ignoring the signal is a choice. Handling becomes a decision, not an accident. The scheme does not enforce rights. It makes provenance visible. And once visible, the economics do the rest.</w:t>
      </w:r>
    </w:p>
    <w:p>
      <w:pPr>
        <w:spacing w:after="160" w:line="300"/>
      </w:pPr>
      <w:r>
        <w:rPr>
          <w:rFonts w:ascii="Georgia" w:cs="Georgia" w:eastAsia="Georgia" w:hAnsi="Georgia"/>
          <w:sz w:val="22"/>
          <w:szCs w:val="22"/>
        </w:rPr>
        <w:t xml:space="preserve">The answer is 42. It was always 42.</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The Addenda Map</w:t>
      </w:r>
    </w:p>
    <w:p>
      <w:pPr>
        <w:spacing w:after="160" w:line="300"/>
      </w:pPr>
      <w:r>
        <w:rPr>
          <w:rFonts w:ascii="Georgia" w:cs="Georgia" w:eastAsia="Georgia" w:hAnsi="Georgia"/>
          <w:sz w:val="22"/>
          <w:szCs w:val="22"/>
        </w:rPr>
        <w:t xml:space="preserve">Each addendum answers a specific objection that the main paper deliberately provokes.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30"/>
        <w:gridCol w:w="2530"/>
        <w:gridCol w:w="3000"/>
      </w:tblGrid>
      <w:tr>
        <w:tc>
          <w:tcPr>
            <w:tcW w:type="dxa" w:w="13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Addendum</w:t>
            </w:r>
          </w:p>
        </w:tc>
        <w:tc>
          <w:tcPr>
            <w:tcW w:type="dxa" w:w="25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The Reader’s Objection</w:t>
            </w:r>
          </w:p>
        </w:tc>
        <w:tc>
          <w:tcPr>
            <w:tcW w:type="dxa" w:w="25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What It Contains</w:t>
            </w:r>
          </w:p>
        </w:tc>
        <w:tc>
          <w:tcPr>
            <w:tcW w:type="dxa" w:w="30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Status</w:t>
            </w:r>
          </w:p>
        </w:tc>
      </w:tr>
      <w:tr>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A</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"What about video?"</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I-frames, marker capacity, temporal redundancy, PPS analog</w:t>
            </w:r>
          </w:p>
        </w:tc>
        <w:tc>
          <w:tcPr>
            <w:tcW w:type="dxa" w:w="3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Complete. Theoretical. No video experiments.</w:t>
            </w:r>
          </w:p>
        </w:tc>
      </w:tr>
      <w:tr>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B</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"How do I integrate this?"</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Three libraries (Pillow, sharp, ImageMagick), four deployment phases, CDN reality</w:t>
            </w:r>
          </w:p>
        </w:tc>
        <w:tc>
          <w:tcPr>
            <w:tcW w:type="dxa" w:w="3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Complete. No code written.</w:t>
            </w:r>
          </w:p>
        </w:tc>
      </w:tr>
      <w:tr>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"Does it survive the real world?"</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Cascading survival across all pipeline categories: social, messaging, cloud, search, e-commerce, email, PDF, AI training</w:t>
            </w:r>
          </w:p>
        </w:tc>
        <w:tc>
          <w:tcPr>
            <w:tcW w:type="dxa" w:w="3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Complete. Predictions from hypothesis. Two pipelines empirically confirmed.</w:t>
            </w:r>
          </w:p>
        </w:tc>
      </w:tr>
      <w:tr>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"Who does it belong to?"</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Position fingerprints, BIP-32 derivation, matching service ecosystem, mechanism design, closure of Assumption Zero</w:t>
            </w:r>
          </w:p>
        </w:tc>
        <w:tc>
          <w:tcPr>
            <w:tcW w:type="dxa" w:w="3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Complete. Architecture only. No protocol spec.</w:t>
            </w:r>
          </w:p>
        </w:tc>
      </w:tr>
      <w:tr>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E</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[Experimental data]</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Scale testing, resize survival, fingerprint stability, seed separation, cross-codec results</w:t>
            </w:r>
          </w:p>
        </w:tc>
        <w:tc>
          <w:tcPr>
            <w:tcW w:type="dxa" w:w="3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Complete. Synthetic data. DIV2K pending.</w:t>
            </w:r>
          </w:p>
        </w:tc>
      </w:tr>
      <w:tr>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F</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"What if two people embed?"</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Multi-layer provenance, stratigraphic ordering, probabilistic matching, Alice and Bob walkthrough</w:t>
            </w:r>
          </w:p>
        </w:tc>
        <w:tc>
          <w:tcPr>
            <w:tcW w:type="dxa" w:w="3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Complete. Analytical. Stitch test confirms.</w:t>
            </w:r>
          </w:p>
        </w:tc>
      </w:tr>
      <w:tr>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G</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"How do I attack this?"</w:t>
            </w:r>
          </w:p>
        </w:tc>
        <w:tc>
          <w:tcPr>
            <w:tcW w:type="dxa" w:w="25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Crop, stitch, flip, rotation, full chain, Ship of Theseus, anticipated attacks, attack economics</w:t>
            </w:r>
          </w:p>
        </w:tc>
        <w:tc>
          <w:tcPr>
            <w:tcW w:type="dxa" w:w="3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Complete. Data on tested attacks. Analysis on anticipated.</w:t>
            </w:r>
          </w:p>
        </w:tc>
      </w:tr>
      <w:tr>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H</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"What about the seed?"</w:t>
            </w:r>
          </w:p>
        </w:tc>
        <w:tc>
          <w:tcPr>
            <w:tcW w:type="dxa" w:w="25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Seven dragons, severity map, hierarchical seeds, compromise protocol, fundamental tradeoffs</w:t>
            </w:r>
          </w:p>
        </w:tc>
        <w:tc>
          <w:tcPr>
            <w:tcW w:type="dxa" w:w="3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Complete. Honest. Unsolvable dragons acknowledged.</w:t>
            </w:r>
          </w:p>
        </w:tc>
      </w:tr>
    </w:tbl>
    <w:p>
      <w:pPr>
        <w:spacing w:after="200" w:before="80"/>
      </w:pPr>
      <w:r>
        <w:rPr>
          <w:rFonts w:ascii="Georgia" w:cs="Georgia" w:eastAsia="Georgia" w:hAnsi="Georgia"/>
          <w:b/>
          <w:bCs/>
          <w:sz w:val="19"/>
          <w:szCs w:val="19"/>
        </w:rPr>
        <w:t xml:space="preserve">Table 1. </w:t>
      </w:r>
      <w:r>
        <w:rPr>
          <w:rFonts w:ascii="Georgia" w:cs="Georgia" w:eastAsia="Georgia" w:hAnsi="Georgia"/>
          <w:i/>
          <w:iCs/>
          <w:sz w:val="19"/>
          <w:szCs w:val="19"/>
        </w:rPr>
        <w:t xml:space="preserve">Addendum mapping. Each addendum answers the objection the main paper deliberately raised. A reader who stops at the paper understands the scheme. A reader who follows the addenda understands the depth.</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Best of Breed: Borrowed Language</w:t>
      </w:r>
    </w:p>
    <w:p>
      <w:pPr>
        <w:spacing w:after="160" w:line="300"/>
      </w:pPr>
      <w:r>
        <w:rPr>
          <w:rFonts w:ascii="Georgia" w:cs="Georgia" w:eastAsia="Georgia" w:hAnsi="Georgia"/>
          <w:sz w:val="22"/>
          <w:szCs w:val="22"/>
        </w:rPr>
        <w:t xml:space="preserve">Three independent AI model reviews contributed framing language that is better than ours. The paper should adopt the best of each:</w:t>
      </w:r>
    </w:p>
    <w:p>
      <w:pPr>
        <w:pStyle w:val="Heading3"/>
        <w:spacing w:after="120" w:before="220"/>
      </w:pPr>
      <w:r>
        <w:rPr>
          <w:rFonts w:ascii="Georgia" w:cs="Georgia" w:eastAsia="Georgia" w:hAnsi="Georgia"/>
          <w:b/>
          <w:bCs/>
          <w:i/>
          <w:iCs/>
          <w:color w:val="34495E"/>
          <w:sz w:val="22"/>
          <w:szCs w:val="22"/>
        </w:rPr>
        <w:t xml:space="preserve">From Gemini</w:t>
      </w:r>
    </w:p>
    <w:p>
      <w:pPr>
        <w:spacing w:after="160" w:line="300"/>
      </w:pPr>
      <w:r>
        <w:rPr>
          <w:rFonts w:ascii="Georgia" w:cs="Georgia" w:eastAsia="Georgia" w:hAnsi="Georgia"/>
          <w:b/>
          <w:bCs/>
          <w:sz w:val="22"/>
          <w:szCs w:val="22"/>
        </w:rPr>
        <w:t xml:space="preserve">"Thermodynamic Tax"</w:t>
      </w:r>
      <w:r>
        <w:rPr>
          <w:rFonts w:ascii="Georgia" w:cs="Georgia" w:eastAsia="Georgia" w:hAnsi="Georgia"/>
          <w:sz w:val="22"/>
          <w:szCs w:val="22"/>
        </w:rPr>
        <w:t xml:space="preserve"> — The embedding imposes local entropy reduction (structure) that is cheap to create and expensive to destroy. This is not a metaphor. It is literally what the embedding does. Use in Section 3.</w:t>
      </w:r>
    </w:p>
    <w:p>
      <w:pPr>
        <w:spacing w:after="160" w:line="300"/>
      </w:pPr>
      <w:r>
        <w:rPr>
          <w:rFonts w:ascii="Georgia" w:cs="Georgia" w:eastAsia="Georgia" w:hAnsi="Georgia"/>
          <w:b/>
          <w:bCs/>
          <w:sz w:val="22"/>
          <w:szCs w:val="22"/>
        </w:rPr>
        <w:t xml:space="preserve">"Anti-Lump" / "Variance Void"</w:t>
      </w:r>
      <w:r>
        <w:rPr>
          <w:rFonts w:ascii="Georgia" w:cs="Georgia" w:eastAsia="Georgia" w:hAnsi="Georgia"/>
          <w:sz w:val="22"/>
          <w:szCs w:val="22"/>
        </w:rPr>
        <w:t xml:space="preserve"> — Targeted suppression creates anomalously low variance at grid-aligned positions. Natural images don’t have this. The suppression footprint is itself detectable. Use in Section 8. Build the scanner as future work.</w:t>
      </w:r>
    </w:p>
    <w:p>
      <w:pPr>
        <w:spacing w:after="160" w:line="300"/>
      </w:pPr>
      <w:r>
        <w:rPr>
          <w:rFonts w:ascii="Georgia" w:cs="Georgia" w:eastAsia="Georgia" w:hAnsi="Georgia"/>
          <w:b/>
          <w:bCs/>
          <w:sz w:val="22"/>
          <w:szCs w:val="22"/>
        </w:rPr>
        <w:t xml:space="preserve">"Discovery Trap"</w:t>
      </w:r>
      <w:r>
        <w:rPr>
          <w:rFonts w:ascii="Georgia" w:cs="Georgia" w:eastAsia="Georgia" w:hAnsi="Georgia"/>
          <w:sz w:val="22"/>
          <w:szCs w:val="22"/>
        </w:rPr>
        <w:t xml:space="preserve"> — The legal framing: proving they ran specialized infrastructure to willfully destroy known provenance signals. Intent, not negligence. Use in Section 7.</w:t>
      </w:r>
    </w:p>
    <w:p>
      <w:pPr>
        <w:spacing w:after="160" w:line="300"/>
      </w:pPr>
      <w:r>
        <w:rPr>
          <w:rFonts w:ascii="Georgia" w:cs="Georgia" w:eastAsia="Georgia" w:hAnsi="Georgia"/>
          <w:b/>
          <w:bCs/>
          <w:sz w:val="22"/>
          <w:szCs w:val="22"/>
        </w:rPr>
        <w:t xml:space="preserve">"Compression as discriminator"</w:t>
      </w:r>
      <w:r>
        <w:rPr>
          <w:rFonts w:ascii="Georgia" w:cs="Georgia" w:eastAsia="Georgia" w:hAnsi="Georgia"/>
          <w:sz w:val="22"/>
          <w:szCs w:val="22"/>
        </w:rPr>
        <w:t xml:space="preserve"> — Compression doesn’t just transmit the signal. It separates correct-seed signal from coincidental overlap. Use in Section 4.</w:t>
      </w:r>
    </w:p>
    <w:p>
      <w:pPr>
        <w:pStyle w:val="Heading3"/>
        <w:spacing w:after="120" w:before="220"/>
      </w:pPr>
      <w:r>
        <w:rPr>
          <w:rFonts w:ascii="Georgia" w:cs="Georgia" w:eastAsia="Georgia" w:hAnsi="Georgia"/>
          <w:b/>
          <w:bCs/>
          <w:i/>
          <w:iCs/>
          <w:color w:val="34495E"/>
          <w:sz w:val="22"/>
          <w:szCs w:val="22"/>
        </w:rPr>
        <w:t xml:space="preserve">From OpenAI</w:t>
      </w:r>
    </w:p>
    <w:p>
      <w:pPr>
        <w:spacing w:after="160" w:line="300"/>
      </w:pPr>
      <w:r>
        <w:rPr>
          <w:rFonts w:ascii="Georgia" w:cs="Georgia" w:eastAsia="Georgia" w:hAnsi="Georgia"/>
          <w:b/>
          <w:bCs/>
          <w:sz w:val="22"/>
          <w:szCs w:val="22"/>
        </w:rPr>
        <w:t xml:space="preserve">"Collapse plausible deniability at scale"</w:t>
      </w:r>
      <w:r>
        <w:rPr>
          <w:rFonts w:ascii="Georgia" w:cs="Georgia" w:eastAsia="Georgia" w:hAnsi="Georgia"/>
          <w:sz w:val="22"/>
          <w:szCs w:val="22"/>
        </w:rPr>
        <w:t xml:space="preserve"> — The one-sentence operational pitch. Better than “proves participation.” Use in abstract and Section 1.</w:t>
      </w:r>
    </w:p>
    <w:p>
      <w:pPr>
        <w:spacing w:after="160" w:line="300"/>
      </w:pPr>
      <w:r>
        <w:rPr>
          <w:rFonts w:ascii="Georgia" w:cs="Georgia" w:eastAsia="Georgia" w:hAnsi="Georgia"/>
          <w:b/>
          <w:bCs/>
          <w:sz w:val="22"/>
          <w:szCs w:val="22"/>
        </w:rPr>
        <w:t xml:space="preserve">"Pre-cryptographic evidentiary substrate"</w:t>
      </w:r>
      <w:r>
        <w:rPr>
          <w:rFonts w:ascii="Georgia" w:cs="Georgia" w:eastAsia="Georgia" w:hAnsi="Georgia"/>
          <w:sz w:val="22"/>
          <w:szCs w:val="22"/>
        </w:rPr>
        <w:t xml:space="preserve"> — Positions the scheme in the stack: below cryptography, above raw pixels. Use in Section 2 and subtitle.</w:t>
      </w:r>
    </w:p>
    <w:p>
      <w:pPr>
        <w:spacing w:after="160" w:line="300"/>
      </w:pPr>
      <w:r>
        <w:rPr>
          <w:rFonts w:ascii="Georgia" w:cs="Georgia" w:eastAsia="Georgia" w:hAnsi="Georgia"/>
          <w:b/>
          <w:bCs/>
          <w:sz w:val="22"/>
          <w:szCs w:val="22"/>
        </w:rPr>
        <w:t xml:space="preserve">"Ignoring the signal is a choice"</w:t>
      </w:r>
      <w:r>
        <w:rPr>
          <w:rFonts w:ascii="Georgia" w:cs="Georgia" w:eastAsia="Georgia" w:hAnsi="Georgia"/>
          <w:sz w:val="22"/>
          <w:szCs w:val="22"/>
        </w:rPr>
        <w:t xml:space="preserve"> — The legal lever in five words. Use in Section 9.</w:t>
      </w:r>
    </w:p>
    <w:p>
      <w:pPr>
        <w:spacing w:after="160" w:line="300"/>
      </w:pPr>
      <w:r>
        <w:rPr>
          <w:rFonts w:ascii="Georgia" w:cs="Georgia" w:eastAsia="Georgia" w:hAnsi="Georgia"/>
          <w:b/>
          <w:bCs/>
          <w:sz w:val="22"/>
          <w:szCs w:val="22"/>
        </w:rPr>
        <w:t xml:space="preserve">"Handling becomes a decision, not an accident"</w:t>
      </w:r>
      <w:r>
        <w:rPr>
          <w:rFonts w:ascii="Georgia" w:cs="Georgia" w:eastAsia="Georgia" w:hAnsi="Georgia"/>
          <w:sz w:val="22"/>
          <w:szCs w:val="22"/>
        </w:rPr>
        <w:t xml:space="preserve"> — The closing line. Use in Section 9.</w:t>
      </w:r>
    </w:p>
    <w:p>
      <w:pPr>
        <w:spacing w:after="160" w:line="300"/>
      </w:pPr>
      <w:r>
        <w:rPr>
          <w:rFonts w:ascii="Georgia" w:cs="Georgia" w:eastAsia="Georgia" w:hAnsi="Georgia"/>
          <w:b/>
          <w:bCs/>
          <w:sz w:val="22"/>
          <w:szCs w:val="22"/>
        </w:rPr>
        <w:t xml:space="preserve">Epoch-based seeds</w:t>
      </w:r>
      <w:r>
        <w:rPr>
          <w:rFonts w:ascii="Georgia" w:cs="Georgia" w:eastAsia="Georgia" w:hAnsi="Georgia"/>
          <w:sz w:val="22"/>
          <w:szCs w:val="22"/>
        </w:rPr>
        <w:t xml:space="preserve"> — Time-windowed seed rotation to bound blast radius. Combine with hierarchical seeds for a two-dimensional partitioning strategy. Incorporate into Addendum H.</w:t>
      </w:r>
    </w:p>
    <w:p>
      <w:pPr>
        <w:pStyle w:val="Heading3"/>
        <w:spacing w:after="120" w:before="220"/>
      </w:pPr>
      <w:r>
        <w:rPr>
          <w:rFonts w:ascii="Georgia" w:cs="Georgia" w:eastAsia="Georgia" w:hAnsi="Georgia"/>
          <w:b/>
          <w:bCs/>
          <w:i/>
          <w:iCs/>
          <w:color w:val="34495E"/>
          <w:sz w:val="22"/>
          <w:szCs w:val="22"/>
        </w:rPr>
        <w:t xml:space="preserve">From This Session</w:t>
      </w:r>
    </w:p>
    <w:p>
      <w:pPr>
        <w:spacing w:after="160" w:line="300"/>
      </w:pPr>
      <w:r>
        <w:rPr>
          <w:rFonts w:ascii="Georgia" w:cs="Georgia" w:eastAsia="Georgia" w:hAnsi="Georgia"/>
          <w:b/>
          <w:bCs/>
          <w:sz w:val="22"/>
          <w:szCs w:val="22"/>
        </w:rPr>
        <w:t xml:space="preserve">"Granite under sandstone"</w:t>
      </w:r>
      <w:r>
        <w:rPr>
          <w:rFonts w:ascii="Georgia" w:cs="Georgia" w:eastAsia="Georgia" w:hAnsi="Georgia"/>
          <w:sz w:val="22"/>
          <w:szCs w:val="22"/>
        </w:rPr>
        <w:t xml:space="preserve"> — The central analogy. Title.</w:t>
      </w:r>
    </w:p>
    <w:p>
      <w:pPr>
        <w:spacing w:after="160" w:line="300"/>
      </w:pPr>
      <w:r>
        <w:rPr>
          <w:rFonts w:ascii="Georgia" w:cs="Georgia" w:eastAsia="Georgia" w:hAnsi="Georgia"/>
          <w:b/>
          <w:bCs/>
          <w:sz w:val="22"/>
          <w:szCs w:val="22"/>
        </w:rPr>
        <w:t xml:space="preserve">"I-frames are JPEGs in a trench coat"</w:t>
      </w:r>
      <w:r>
        <w:rPr>
          <w:rFonts w:ascii="Georgia" w:cs="Georgia" w:eastAsia="Georgia" w:hAnsi="Georgia"/>
          <w:sz w:val="22"/>
          <w:szCs w:val="22"/>
        </w:rPr>
        <w:t xml:space="preserve"> — The DEFCON line. Section 5 or Addendum A.</w:t>
      </w:r>
    </w:p>
    <w:p>
      <w:pPr>
        <w:spacing w:after="160" w:line="300"/>
      </w:pPr>
      <w:r>
        <w:rPr>
          <w:rFonts w:ascii="Georgia" w:cs="Georgia" w:eastAsia="Georgia" w:hAnsi="Georgia"/>
          <w:b/>
          <w:bCs/>
          <w:sz w:val="22"/>
          <w:szCs w:val="22"/>
        </w:rPr>
        <w:t xml:space="preserve">"Caring does not scale. Incentives do."</w:t>
      </w:r>
      <w:r>
        <w:rPr>
          <w:rFonts w:ascii="Georgia" w:cs="Georgia" w:eastAsia="Georgia" w:hAnsi="Georgia"/>
          <w:sz w:val="22"/>
          <w:szCs w:val="22"/>
        </w:rPr>
        <w:t xml:space="preserve"> — The mechanism design summary. Section 7.</w:t>
      </w:r>
    </w:p>
    <w:p>
      <w:pPr>
        <w:spacing w:after="160" w:line="300"/>
      </w:pPr>
      <w:r>
        <w:rPr>
          <w:rFonts w:ascii="Georgia" w:cs="Georgia" w:eastAsia="Georgia" w:hAnsi="Georgia"/>
          <w:b/>
          <w:bCs/>
          <w:sz w:val="22"/>
          <w:szCs w:val="22"/>
        </w:rPr>
        <w:t xml:space="preserve">"The identity is in the positions, not the values"</w:t>
      </w:r>
      <w:r>
        <w:rPr>
          <w:rFonts w:ascii="Georgia" w:cs="Georgia" w:eastAsia="Georgia" w:hAnsi="Georgia"/>
          <w:sz w:val="22"/>
          <w:szCs w:val="22"/>
        </w:rPr>
        <w:t xml:space="preserve"> — The attribution breakthrough. Section 6.</w:t>
      </w:r>
    </w:p>
    <w:p>
      <w:pPr>
        <w:spacing w:after="160" w:line="300"/>
      </w:pPr>
      <w:r>
        <w:rPr>
          <w:rFonts w:ascii="Georgia" w:cs="Georgia" w:eastAsia="Georgia" w:hAnsi="Georgia"/>
          <w:b/>
          <w:bCs/>
          <w:sz w:val="22"/>
          <w:szCs w:val="22"/>
        </w:rPr>
        <w:t xml:space="preserve">"The signal is not fragile. The ambiguity is."</w:t>
      </w:r>
      <w:r>
        <w:rPr>
          <w:rFonts w:ascii="Georgia" w:cs="Georgia" w:eastAsia="Georgia" w:hAnsi="Georgia"/>
          <w:sz w:val="22"/>
          <w:szCs w:val="22"/>
        </w:rPr>
        <w:t xml:space="preserve"> — The honest assessment. Section 8.</w:t>
      </w:r>
    </w:p>
    <w:p>
      <w:pPr>
        <w:spacing w:after="160" w:line="300"/>
      </w:pPr>
      <w:r>
        <w:rPr>
          <w:rFonts w:ascii="Georgia" w:cs="Georgia" w:eastAsia="Georgia" w:hAnsi="Georgia"/>
          <w:b/>
          <w:bCs/>
          <w:sz w:val="22"/>
          <w:szCs w:val="22"/>
        </w:rPr>
        <w:t xml:space="preserve">"The answer is 42. It was always 42."</w:t>
      </w:r>
      <w:r>
        <w:rPr>
          <w:rFonts w:ascii="Georgia" w:cs="Georgia" w:eastAsia="Georgia" w:hAnsi="Georgia"/>
          <w:sz w:val="22"/>
          <w:szCs w:val="22"/>
        </w:rPr>
        <w:t xml:space="preserve"> — The closer. Section 9.</w:t>
      </w:r>
    </w:p>
    <w:p>
      <w:pPr>
        <w:spacing w:after="160" w:line="300"/>
      </w:pPr>
      <w:r>
        <w:rPr>
          <w:rFonts w:ascii="Georgia" w:cs="Georgia" w:eastAsia="Georgia" w:hAnsi="Georgia"/>
          <w:b/>
          <w:bCs/>
          <w:sz w:val="22"/>
          <w:szCs w:val="22"/>
        </w:rPr>
        <w:t xml:space="preserve">Ship of Theseus</w:t>
      </w:r>
      <w:r>
        <w:rPr>
          <w:rFonts w:ascii="Georgia" w:cs="Georgia" w:eastAsia="Georgia" w:hAnsi="Georgia"/>
          <w:sz w:val="22"/>
          <w:szCs w:val="22"/>
        </w:rPr>
        <w:t xml:space="preserve"> — 97.5% of pixels replaced. Fingerprint Jaccard 0.72. The scheme survives total material replacement because the signal is the relationship, not the material. Section 8 and Addendum G.</w:t>
      </w:r>
    </w:p>
    <w:p>
      <w:pPr>
        <w:spacing w:after="160" w:line="300"/>
      </w:pPr>
      <w:r>
        <w:rPr>
          <w:rFonts w:ascii="Georgia" w:cs="Georgia" w:eastAsia="Georgia" w:hAnsi="Georgia"/>
          <w:b/>
          <w:bCs/>
          <w:sz w:val="22"/>
          <w:szCs w:val="22"/>
        </w:rPr>
        <w:t xml:space="preserve">The SEP field</w:t>
      </w:r>
      <w:r>
        <w:rPr>
          <w:rFonts w:ascii="Georgia" w:cs="Georgia" w:eastAsia="Georgia" w:hAnsi="Georgia"/>
          <w:sz w:val="22"/>
          <w:szCs w:val="22"/>
        </w:rPr>
        <w:t xml:space="preserve"> — Douglas Adams’ economic architecture. Every actor ignores the creator’s problem and solves their own. DEFCON talk, not paper.</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The Dependency Graph</w:t>
      </w:r>
    </w:p>
    <w:p>
      <w:pPr>
        <w:spacing w:after="160" w:line="300"/>
      </w:pPr>
      <w:r>
        <w:rPr>
          <w:rFonts w:ascii="Georgia" w:cs="Georgia" w:eastAsia="Georgia" w:hAnsi="Georgia"/>
          <w:b/>
          <w:bCs/>
          <w:sz w:val="22"/>
          <w:szCs w:val="22"/>
        </w:rPr>
        <w:t xml:space="preserve">What the paper needs before it can be written:</w:t>
      </w:r>
    </w:p>
    <w:p>
      <w:pPr>
        <w:spacing w:after="160" w:line="300"/>
      </w:pPr>
      <w:r>
        <w:rPr>
          <w:rFonts w:ascii="Georgia" w:cs="Georgia" w:eastAsia="Georgia" w:hAnsi="Georgia"/>
          <w:b/>
          <w:bCs/>
          <w:sz w:val="22"/>
          <w:szCs w:val="22"/>
        </w:rPr>
        <w:t xml:space="preserve">CRITICAL: </w:t>
      </w:r>
      <w:r>
        <w:rPr>
          <w:rFonts w:ascii="Georgia" w:cs="Georgia" w:eastAsia="Georgia" w:hAnsi="Georgia"/>
          <w:sz w:val="22"/>
          <w:szCs w:val="22"/>
        </w:rPr>
        <w:t xml:space="preserve">DIV2K validation results. The amplification section (Section 4) is gated on this. Everything else can be written around placeholder results, but the central contribution requires real-photograph data.</w:t>
      </w:r>
    </w:p>
    <w:p>
      <w:pPr>
        <w:spacing w:after="160" w:line="300"/>
      </w:pPr>
      <w:r>
        <w:rPr>
          <w:rFonts w:ascii="Georgia" w:cs="Georgia" w:eastAsia="Georgia" w:hAnsi="Georgia"/>
          <w:b/>
          <w:bCs/>
          <w:sz w:val="22"/>
          <w:szCs w:val="22"/>
        </w:rPr>
        <w:t xml:space="preserve">IMPORTANT: </w:t>
      </w:r>
      <w:r>
        <w:rPr>
          <w:rFonts w:ascii="Georgia" w:cs="Georgia" w:eastAsia="Georgia" w:hAnsi="Georgia"/>
          <w:sz w:val="22"/>
          <w:szCs w:val="22"/>
        </w:rPr>
        <w:t xml:space="preserve">Fix the 4096×4096 embedding bug. The scale testing section references 512, 1024, and 2048. Having 4096 strengthens the “the larger the image, the stronger the signal” narrative.</w:t>
      </w:r>
    </w:p>
    <w:p>
      <w:pPr>
        <w:spacing w:after="160" w:line="300"/>
      </w:pPr>
      <w:r>
        <w:rPr>
          <w:rFonts w:ascii="Georgia" w:cs="Georgia" w:eastAsia="Georgia" w:hAnsi="Georgia"/>
          <w:b/>
          <w:bCs/>
          <w:sz w:val="22"/>
          <w:szCs w:val="22"/>
        </w:rPr>
        <w:t xml:space="preserve">NICE TO HAVE: </w:t>
      </w:r>
      <w:r>
        <w:rPr>
          <w:rFonts w:ascii="Georgia" w:cs="Georgia" w:eastAsia="Georgia" w:hAnsi="Georgia"/>
          <w:sz w:val="22"/>
          <w:szCs w:val="22"/>
        </w:rPr>
        <w:t xml:space="preserve">Cross-codec multi-hop cascade (JPEG → WebP → JPEG → AVIF). The single-hop JPEG→WebP data is strong. A multi-hop cascade would strengthen Addendum C’s predictions.</w:t>
      </w:r>
    </w:p>
    <w:p>
      <w:pPr>
        <w:spacing w:after="160" w:line="300"/>
      </w:pPr>
      <w:r>
        <w:rPr>
          <w:rFonts w:ascii="Georgia" w:cs="Georgia" w:eastAsia="Georgia" w:hAnsi="Georgia"/>
          <w:b/>
          <w:bCs/>
          <w:sz w:val="22"/>
          <w:szCs w:val="22"/>
        </w:rPr>
        <w:t xml:space="preserve">NICE TO HAVE: </w:t>
      </w:r>
      <w:r>
        <w:rPr>
          <w:rFonts w:ascii="Georgia" w:cs="Georgia" w:eastAsia="Georgia" w:hAnsi="Georgia"/>
          <w:sz w:val="22"/>
          <w:szCs w:val="22"/>
        </w:rPr>
        <w:t xml:space="preserve">The Anti-Lump scanner (Gemini’s suggestion). A tool that detects the footprint of targeted suppression. Not required for the paper. Excellent for the DEFCON demo.</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The Document Set</w:t>
      </w:r>
    </w:p>
    <w:p>
      <w:pPr>
        <w:spacing w:after="160" w:line="300"/>
      </w:pPr>
      <w:r>
        <w:rPr>
          <w:rFonts w:ascii="Georgia" w:cs="Georgia" w:eastAsia="Georgia" w:hAnsi="Georgia"/>
          <w:sz w:val="22"/>
          <w:szCs w:val="22"/>
        </w:rPr>
        <w:t xml:space="preserve">When complete, the project consists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Document</w:t>
            </w:r>
          </w:p>
        </w:tc>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Purpose</w:t>
            </w:r>
          </w:p>
        </w:tc>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Status</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Main paper</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The provocation</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Blueprint complete. Writing gated on DIV2K.</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Addenda A–H</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The defense</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All eight complete.</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Experimental results</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The evidence</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Synthetic complete. DIV2K pending.</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Product doc</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The what and why</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Complete.</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12 Python scripts</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The proof</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All BSD licensed. All Assumption Zero headers.</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SETUP.md + LICENSE</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The invitation</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Complete.</w:t>
            </w:r>
          </w:p>
        </w:tc>
      </w:tr>
    </w:tbl>
    <w:p>
      <w:pPr>
        <w:spacing w:after="100" w:before="200"/>
      </w:pP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The Timeline</w:t>
      </w:r>
    </w:p>
    <w:p>
      <w:pPr>
        <w:spacing w:after="160" w:line="300"/>
      </w:pPr>
      <w:r>
        <w:rPr>
          <w:rFonts w:ascii="Georgia" w:cs="Georgia" w:eastAsia="Georgia" w:hAnsi="Georgia"/>
          <w:b/>
          <w:bCs/>
          <w:sz w:val="22"/>
          <w:szCs w:val="22"/>
        </w:rPr>
        <w:t xml:space="preserve">Tonight or tomorrow morning: </w:t>
      </w:r>
      <w:r>
        <w:rPr>
          <w:rFonts w:ascii="Georgia" w:cs="Georgia" w:eastAsia="Georgia" w:hAnsi="Georgia"/>
          <w:sz w:val="22"/>
          <w:szCs w:val="22"/>
        </w:rPr>
        <w:t xml:space="preserve">DIV2K validation. Run the harness. Read the verdict.</w:t>
      </w:r>
    </w:p>
    <w:p>
      <w:pPr>
        <w:spacing w:after="160" w:line="300"/>
      </w:pPr>
      <w:r>
        <w:rPr>
          <w:rFonts w:ascii="Georgia" w:cs="Georgia" w:eastAsia="Georgia" w:hAnsi="Georgia"/>
          <w:b/>
          <w:bCs/>
          <w:sz w:val="22"/>
          <w:szCs w:val="22"/>
        </w:rPr>
        <w:t xml:space="preserve">This week: </w:t>
      </w:r>
      <w:r>
        <w:rPr>
          <w:rFonts w:ascii="Georgia" w:cs="Georgia" w:eastAsia="Georgia" w:hAnsi="Georgia"/>
          <w:sz w:val="22"/>
          <w:szCs w:val="22"/>
        </w:rPr>
        <w:t xml:space="preserve">If granite confirmed: write the main paper. The blueprint is ready. The data fills in. If granite partial: characterize which content classes amplify. If not confirmed: rewrite Section 4 around DQT and twin-marker results without the amplification claim.</w:t>
      </w:r>
    </w:p>
    <w:p>
      <w:pPr>
        <w:spacing w:after="160" w:line="300"/>
      </w:pPr>
      <w:r>
        <w:rPr>
          <w:rFonts w:ascii="Georgia" w:cs="Georgia" w:eastAsia="Georgia" w:hAnsi="Georgia"/>
          <w:b/>
          <w:bCs/>
          <w:sz w:val="22"/>
          <w:szCs w:val="22"/>
        </w:rPr>
        <w:t xml:space="preserve">This month: </w:t>
      </w:r>
      <w:r>
        <w:rPr>
          <w:rFonts w:ascii="Georgia" w:cs="Georgia" w:eastAsia="Georgia" w:hAnsi="Georgia"/>
          <w:sz w:val="22"/>
          <w:szCs w:val="22"/>
        </w:rPr>
        <w:t xml:space="preserve">arXiv preprint for priority. The idea is public on Substack. Someone with rate-distortion expertise could replicate. Timestamp matters.</w:t>
      </w:r>
    </w:p>
    <w:p>
      <w:pPr>
        <w:spacing w:after="160" w:line="300"/>
      </w:pPr>
      <w:r>
        <w:rPr>
          <w:rFonts w:ascii="Georgia" w:cs="Georgia" w:eastAsia="Georgia" w:hAnsi="Georgia"/>
          <w:b/>
          <w:bCs/>
          <w:sz w:val="22"/>
          <w:szCs w:val="22"/>
        </w:rPr>
        <w:t xml:space="preserve">This quarter: </w:t>
      </w:r>
      <w:r>
        <w:rPr>
          <w:rFonts w:ascii="Georgia" w:cs="Georgia" w:eastAsia="Georgia" w:hAnsi="Georgia"/>
          <w:sz w:val="22"/>
          <w:szCs w:val="22"/>
        </w:rPr>
        <w:t xml:space="preserve">Conference submission. DEFCON (talk) and/or USENIX Security / ACM CCS (paper). Cross-format validation (AVIF, H.264 I-frames). Formal rate-distortion model.</w:t>
      </w:r>
    </w:p>
    <w:p>
      <w:pPr>
        <w:spacing w:after="280" w:before="280"/>
        <w:jc w:val="center"/>
      </w:pPr>
      <w:r>
        <w:rPr>
          <w:rFonts w:ascii="Georgia" w:cs="Georgia" w:eastAsia="Georgia" w:hAnsi="Georgia"/>
          <w:color w:val="BDC3C7"/>
          <w:sz w:val="24"/>
          <w:szCs w:val="24"/>
        </w:rPr>
        <w:t xml:space="preserve">•  •  •</w:t>
      </w:r>
    </w:p>
    <w:p>
      <w:pPr>
        <w:pBdr>
          <w:left w:val="single" w:color="BDC3C7" w:sz="3" w:space="12"/>
        </w:pBdr>
        <w:spacing w:after="200" w:line="300"/>
        <w:ind w:left="600" w:right="600"/>
      </w:pPr>
      <w:r>
        <w:rPr>
          <w:rFonts w:ascii="Georgia" w:cs="Georgia" w:eastAsia="Georgia" w:hAnsi="Georgia"/>
          <w:i/>
          <w:iCs/>
          <w:color w:val="555555"/>
          <w:sz w:val="21"/>
          <w:szCs w:val="21"/>
        </w:rPr>
        <w:t xml:space="preserve">The paper is the provocation. The addenda are the defense. The data is the evidence. The code is the invitation. The economics are the engine. The physics is the foundation. The human is the one who decided to look.</w:t>
      </w:r>
    </w:p>
    <w:p>
      <w:pPr>
        <w:spacing w:before="200"/>
      </w:pPr>
    </w:p>
    <w:p>
      <w:pPr>
        <w:pBdr>
          <w:left w:val="single" w:color="BDC3C7" w:sz="3" w:space="12"/>
        </w:pBdr>
        <w:spacing w:after="200" w:line="300"/>
        <w:ind w:left="600" w:right="600"/>
      </w:pPr>
      <w:r>
        <w:rPr>
          <w:rFonts w:ascii="Georgia" w:cs="Georgia" w:eastAsia="Georgia" w:hAnsi="Georgia"/>
          <w:i/>
          <w:iCs/>
          <w:color w:val="555555"/>
          <w:sz w:val="21"/>
          <w:szCs w:val="21"/>
        </w:rPr>
        <w:t xml:space="preserve">Three days. Twelve scripts. Eight addenda. One product document. One paper blueprint. One experimental results document. Two attack simulations. Zero lines of code written that we didn’t test. Zero claims made that we didn’t flag as pending validation. Zero dragons hidden. Zero oversells. The work is honest. The data will decide if it’s right.</w:t>
      </w:r>
    </w:p>
    <w:p>
      <w:pPr>
        <w:spacing w:before="400"/>
      </w:pPr>
    </w:p>
    <w:p>
      <w:r>
        <w:rPr>
          <w:rFonts w:ascii="Georgia" w:cs="Georgia" w:eastAsia="Georgia" w:hAnsi="Georgia"/>
          <w:color w:val="777777"/>
          <w:sz w:val="19"/>
          <w:szCs w:val="19"/>
        </w:rPr>
        <w:t xml:space="preserve">Jeremy Pickett — SignalDelta / Axiomatic Fictions</w:t>
      </w:r>
    </w:p>
    <w:p>
      <w:r>
        <w:rPr>
          <w:rFonts w:ascii="Georgia" w:cs="Georgia" w:eastAsia="Georgia" w:hAnsi="Georgia"/>
          <w:i/>
          <w:iCs/>
          <w:color w:val="777777"/>
          <w:sz w:val="19"/>
          <w:szCs w:val="19"/>
        </w:rPr>
        <w:t xml:space="preserve">Co-developed with Claude (Anthropic), reviewed by Gemini (Google) and GPT-4o (OpenAI).</w:t>
      </w:r>
    </w:p>
    <w:p>
      <w:r>
        <w:rPr>
          <w:rFonts w:ascii="Georgia" w:cs="Georgia" w:eastAsia="Georgia" w:hAnsi="Georgia"/>
          <w:i/>
          <w:iCs/>
          <w:color w:val="777777"/>
          <w:sz w:val="19"/>
          <w:szCs w:val="19"/>
        </w:rPr>
        <w:t xml:space="preserve">Human-directed. AI-assisted. Friction welcome and required.</w:t>
      </w:r>
    </w:p>
    <w:p>
      <w:pPr>
        <w:spacing w:before="100"/>
      </w:pPr>
      <w:r>
        <w:rPr>
          <w:rFonts w:ascii="Georgia" w:cs="Georgia" w:eastAsia="Georgia" w:hAnsi="Georgia"/>
          <w:color w:val="777777"/>
          <w:sz w:val="19"/>
          <w:szCs w:val="19"/>
        </w:rPr>
        <w:t xml:space="preserve">March 18,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PAPER ARCHITECTURE —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 w:type="paragraph" w:styleId="Heading3">
    <w:name w:val="Heading 3"/>
    <w:basedOn w:val="Normal"/>
    <w:next w:val="Normal"/>
    <w:qFormat/>
    <w:pPr>
      <w:spacing w:after="120" w:before="220"/>
      <w:outlineLvl w:val="2"/>
    </w:pPr>
    <w:rPr>
      <w:rFonts w:ascii="Georgia" w:cs="Georgia" w:eastAsia="Georgia" w:hAnsi="Georgia"/>
      <w:b/>
      <w:bCs/>
      <w:i/>
      <w:i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2026-03-19T01:35:23.554Z</dcterms:created>
  <dcterms:modified xsi:type="dcterms:W3CDTF">2026-03-19T01:35:23.555Z</dcterms:modified>
</cp:coreProperties>
</file>

<file path=docProps/custom.xml><?xml version="1.0" encoding="utf-8"?>
<Properties xmlns="http://schemas.openxmlformats.org/officeDocument/2006/custom-properties" xmlns:vt="http://schemas.openxmlformats.org/officeDocument/2006/docPropsVTypes"/>
</file>