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141414"/>
  <w:body>
    <w:p w:rsidR="00000000" w:rsidDel="00000000" w:rsidP="00000000" w:rsidRDefault="00000000" w:rsidRPr="00000000" w14:paraId="00000001">
      <w:pPr>
        <w:rPr>
          <w:color w:val="ffffff"/>
        </w:rPr>
      </w:pPr>
      <w:r w:rsidDel="00000000" w:rsidR="00000000" w:rsidRPr="00000000">
        <w:rPr>
          <w:color w:val="ffffff"/>
          <w:rtl w:val="0"/>
        </w:rPr>
        <w:t xml:space="preserve">**SECTION 1 — INTRODUCTION**</w:t>
      </w:r>
    </w:p>
    <w:p w:rsidR="00000000" w:rsidDel="00000000" w:rsidP="00000000" w:rsidRDefault="00000000" w:rsidRPr="00000000" w14:paraId="00000002">
      <w:pPr>
        <w:rPr>
          <w:color w:val="ffffff"/>
        </w:rPr>
      </w:pPr>
      <w:r w:rsidDel="00000000" w:rsidR="00000000" w:rsidRPr="00000000">
        <w:rPr>
          <w:rtl w:val="0"/>
        </w:rPr>
      </w:r>
    </w:p>
    <w:p w:rsidR="00000000" w:rsidDel="00000000" w:rsidP="00000000" w:rsidRDefault="00000000" w:rsidRPr="00000000" w14:paraId="00000003">
      <w:pPr>
        <w:rPr>
          <w:color w:val="ffffff"/>
        </w:rPr>
      </w:pPr>
      <w:r w:rsidDel="00000000" w:rsidR="00000000" w:rsidRPr="00000000">
        <w:rPr>
          <w:color w:val="ffffff"/>
          <w:rtl w:val="0"/>
        </w:rPr>
        <w:t xml:space="preserve">---</w:t>
      </w:r>
    </w:p>
    <w:p w:rsidR="00000000" w:rsidDel="00000000" w:rsidP="00000000" w:rsidRDefault="00000000" w:rsidRPr="00000000" w14:paraId="00000004">
      <w:pPr>
        <w:rPr>
          <w:color w:val="ffffff"/>
        </w:rPr>
      </w:pPr>
      <w:r w:rsidDel="00000000" w:rsidR="00000000" w:rsidRPr="00000000">
        <w:rPr>
          <w:rtl w:val="0"/>
        </w:rPr>
      </w:r>
    </w:p>
    <w:p w:rsidR="00000000" w:rsidDel="00000000" w:rsidP="00000000" w:rsidRDefault="00000000" w:rsidRPr="00000000" w14:paraId="00000005">
      <w:pPr>
        <w:rPr>
          <w:color w:val="ffffff"/>
        </w:rPr>
      </w:pPr>
      <w:r w:rsidDel="00000000" w:rsidR="00000000" w:rsidRPr="00000000">
        <w:rPr>
          <w:color w:val="ffffff"/>
          <w:rtl w:val="0"/>
        </w:rPr>
        <w:t xml:space="preserve">### 1.1 The Axiomatic Fiction</w:t>
      </w:r>
    </w:p>
    <w:p w:rsidR="00000000" w:rsidDel="00000000" w:rsidP="00000000" w:rsidRDefault="00000000" w:rsidRPr="00000000" w14:paraId="00000006">
      <w:pPr>
        <w:rPr>
          <w:color w:val="ffffff"/>
        </w:rPr>
      </w:pPr>
      <w:r w:rsidDel="00000000" w:rsidR="00000000" w:rsidRPr="00000000">
        <w:rPr>
          <w:rtl w:val="0"/>
        </w:rPr>
      </w:r>
    </w:p>
    <w:p w:rsidR="00000000" w:rsidDel="00000000" w:rsidP="00000000" w:rsidRDefault="00000000" w:rsidRPr="00000000" w14:paraId="00000007">
      <w:pPr>
        <w:rPr>
          <w:color w:val="ffffff"/>
        </w:rPr>
      </w:pPr>
      <w:r w:rsidDel="00000000" w:rsidR="00000000" w:rsidRPr="00000000">
        <w:rPr>
          <w:color w:val="ffffff"/>
          <w:rtl w:val="0"/>
        </w:rPr>
        <w:t xml:space="preserve">Every security ecosystem inherits assumptions it does not examine. These assumptions are not selected for because they are true. They are selected for because they are comfortable — because they map onto existing tooling, existing legal frameworks, and existing threat models. Because the people who benefit from them benefit from not looking harder.</w:t>
      </w:r>
    </w:p>
    <w:p w:rsidR="00000000" w:rsidDel="00000000" w:rsidP="00000000" w:rsidRDefault="00000000" w:rsidRPr="00000000" w14:paraId="00000008">
      <w:pPr>
        <w:rPr>
          <w:color w:val="ffffff"/>
        </w:rPr>
      </w:pPr>
      <w:r w:rsidDel="00000000" w:rsidR="00000000" w:rsidRPr="00000000">
        <w:rPr>
          <w:rtl w:val="0"/>
        </w:rPr>
      </w:r>
    </w:p>
    <w:p w:rsidR="00000000" w:rsidDel="00000000" w:rsidP="00000000" w:rsidRDefault="00000000" w:rsidRPr="00000000" w14:paraId="00000009">
      <w:pPr>
        <w:rPr>
          <w:color w:val="ffffff"/>
        </w:rPr>
      </w:pPr>
      <w:r w:rsidDel="00000000" w:rsidR="00000000" w:rsidRPr="00000000">
        <w:rPr>
          <w:color w:val="ffffff"/>
          <w:rtl w:val="0"/>
        </w:rPr>
        <w:t xml:space="preserve">The foundational assumption of digital provenance is this: a file has traceable origin only if that origin was cryptographically signed at creation and that signature has been preserved through every subsequent transformation.</w:t>
      </w:r>
    </w:p>
    <w:p w:rsidR="00000000" w:rsidDel="00000000" w:rsidP="00000000" w:rsidRDefault="00000000" w:rsidRPr="00000000" w14:paraId="0000000A">
      <w:pPr>
        <w:rPr>
          <w:color w:val="ffffff"/>
        </w:rPr>
      </w:pPr>
      <w:r w:rsidDel="00000000" w:rsidR="00000000" w:rsidRPr="00000000">
        <w:rPr>
          <w:rtl w:val="0"/>
        </w:rPr>
      </w:r>
    </w:p>
    <w:p w:rsidR="00000000" w:rsidDel="00000000" w:rsidP="00000000" w:rsidRDefault="00000000" w:rsidRPr="00000000" w14:paraId="0000000B">
      <w:pPr>
        <w:rPr>
          <w:color w:val="ffffff"/>
        </w:rPr>
      </w:pPr>
      <w:r w:rsidDel="00000000" w:rsidR="00000000" w:rsidRPr="00000000">
        <w:rPr>
          <w:color w:val="ffffff"/>
          <w:rtl w:val="0"/>
        </w:rPr>
        <w:t xml:space="preserve">This assumption is an axiomatic fiction.</w:t>
      </w:r>
    </w:p>
    <w:p w:rsidR="00000000" w:rsidDel="00000000" w:rsidP="00000000" w:rsidRDefault="00000000" w:rsidRPr="00000000" w14:paraId="0000000C">
      <w:pPr>
        <w:rPr>
          <w:color w:val="ffffff"/>
        </w:rPr>
      </w:pPr>
      <w:r w:rsidDel="00000000" w:rsidR="00000000" w:rsidRPr="00000000">
        <w:rPr>
          <w:rtl w:val="0"/>
        </w:rPr>
      </w:r>
    </w:p>
    <w:p w:rsidR="00000000" w:rsidDel="00000000" w:rsidP="00000000" w:rsidRDefault="00000000" w:rsidRPr="00000000" w14:paraId="0000000D">
      <w:pPr>
        <w:rPr>
          <w:color w:val="ffffff"/>
        </w:rPr>
      </w:pPr>
      <w:r w:rsidDel="00000000" w:rsidR="00000000" w:rsidRPr="00000000">
        <w:rPr>
          <w:color w:val="ffffff"/>
          <w:rtl w:val="0"/>
        </w:rPr>
        <w:t xml:space="preserve">It is not false because signing is unreliable. Signing is reliable. It is false because the ecosystem it protects against — automated corpus-scale ingestion of creative media — was not designed to check for signatures. The signing ceremony is irrelevant to a pipeline that never attends it. The lock is real. The door is open. The neighbor's house is the target.</w:t>
      </w:r>
    </w:p>
    <w:p w:rsidR="00000000" w:rsidDel="00000000" w:rsidP="00000000" w:rsidRDefault="00000000" w:rsidRPr="00000000" w14:paraId="0000000E">
      <w:pPr>
        <w:rPr>
          <w:color w:val="ffffff"/>
        </w:rPr>
      </w:pPr>
      <w:r w:rsidDel="00000000" w:rsidR="00000000" w:rsidRPr="00000000">
        <w:rPr>
          <w:rtl w:val="0"/>
        </w:rPr>
      </w:r>
    </w:p>
    <w:p w:rsidR="00000000" w:rsidDel="00000000" w:rsidP="00000000" w:rsidRDefault="00000000" w:rsidRPr="00000000" w14:paraId="0000000F">
      <w:pPr>
        <w:rPr>
          <w:color w:val="ffffff"/>
        </w:rPr>
      </w:pPr>
      <w:r w:rsidDel="00000000" w:rsidR="00000000" w:rsidRPr="00000000">
        <w:rPr>
          <w:color w:val="ffffff"/>
          <w:rtl w:val="0"/>
        </w:rPr>
        <w:t xml:space="preserve">---</w:t>
      </w:r>
    </w:p>
    <w:p w:rsidR="00000000" w:rsidDel="00000000" w:rsidP="00000000" w:rsidRDefault="00000000" w:rsidRPr="00000000" w14:paraId="00000010">
      <w:pPr>
        <w:rPr>
          <w:color w:val="ffffff"/>
        </w:rPr>
      </w:pPr>
      <w:r w:rsidDel="00000000" w:rsidR="00000000" w:rsidRPr="00000000">
        <w:rPr>
          <w:rtl w:val="0"/>
        </w:rPr>
      </w:r>
    </w:p>
    <w:p w:rsidR="00000000" w:rsidDel="00000000" w:rsidP="00000000" w:rsidRDefault="00000000" w:rsidRPr="00000000" w14:paraId="00000011">
      <w:pPr>
        <w:rPr>
          <w:color w:val="ffffff"/>
        </w:rPr>
      </w:pPr>
      <w:r w:rsidDel="00000000" w:rsidR="00000000" w:rsidRPr="00000000">
        <w:rPr>
          <w:color w:val="ffffff"/>
          <w:rtl w:val="0"/>
        </w:rPr>
        <w:t xml:space="preserve">### 1.2 What Participation Actually Leaves</w:t>
      </w:r>
    </w:p>
    <w:p w:rsidR="00000000" w:rsidDel="00000000" w:rsidP="00000000" w:rsidRDefault="00000000" w:rsidRPr="00000000" w14:paraId="00000012">
      <w:pPr>
        <w:rPr>
          <w:color w:val="ffffff"/>
        </w:rPr>
      </w:pPr>
      <w:r w:rsidDel="00000000" w:rsidR="00000000" w:rsidRPr="00000000">
        <w:rPr>
          <w:rtl w:val="0"/>
        </w:rPr>
      </w:r>
    </w:p>
    <w:p w:rsidR="00000000" w:rsidDel="00000000" w:rsidP="00000000" w:rsidRDefault="00000000" w:rsidRPr="00000000" w14:paraId="00000013">
      <w:pPr>
        <w:rPr>
          <w:color w:val="ffffff"/>
        </w:rPr>
      </w:pPr>
      <w:r w:rsidDel="00000000" w:rsidR="00000000" w:rsidRPr="00000000">
        <w:rPr>
          <w:color w:val="ffffff"/>
          <w:rtl w:val="0"/>
        </w:rPr>
        <w:t xml:space="preserve">Any system that touches a binary file leaves a statistical residue. This is not a design choice. It is a consequence of doing anything at all to the file. Compression changes value distributions. Re-encoding changes frequency relationships. Format conversion changes container structure. Cropping changes spatial statistics.</w:t>
      </w:r>
    </w:p>
    <w:p w:rsidR="00000000" w:rsidDel="00000000" w:rsidP="00000000" w:rsidRDefault="00000000" w:rsidRPr="00000000" w14:paraId="00000014">
      <w:pPr>
        <w:rPr>
          <w:color w:val="ffffff"/>
        </w:rPr>
      </w:pPr>
      <w:r w:rsidDel="00000000" w:rsidR="00000000" w:rsidRPr="00000000">
        <w:rPr>
          <w:rtl w:val="0"/>
        </w:rPr>
      </w:r>
    </w:p>
    <w:p w:rsidR="00000000" w:rsidDel="00000000" w:rsidP="00000000" w:rsidRDefault="00000000" w:rsidRPr="00000000" w14:paraId="00000015">
      <w:pPr>
        <w:rPr>
          <w:color w:val="ffffff"/>
        </w:rPr>
      </w:pPr>
      <w:r w:rsidDel="00000000" w:rsidR="00000000" w:rsidRPr="00000000">
        <w:rPr>
          <w:color w:val="ffffff"/>
          <w:rtl w:val="0"/>
        </w:rPr>
        <w:t xml:space="preserve">Most of this residue is unstructured — noise, not signal. It is there but it says nothing in particular.</w:t>
      </w:r>
    </w:p>
    <w:p w:rsidR="00000000" w:rsidDel="00000000" w:rsidP="00000000" w:rsidRDefault="00000000" w:rsidRPr="00000000" w14:paraId="00000016">
      <w:pPr>
        <w:rPr>
          <w:color w:val="ffffff"/>
        </w:rPr>
      </w:pPr>
      <w:r w:rsidDel="00000000" w:rsidR="00000000" w:rsidRPr="00000000">
        <w:rPr>
          <w:rtl w:val="0"/>
        </w:rPr>
      </w:r>
    </w:p>
    <w:p w:rsidR="00000000" w:rsidDel="00000000" w:rsidP="00000000" w:rsidRDefault="00000000" w:rsidRPr="00000000" w14:paraId="00000017">
      <w:pPr>
        <w:rPr>
          <w:color w:val="ffffff"/>
        </w:rPr>
      </w:pPr>
      <w:r w:rsidDel="00000000" w:rsidR="00000000" w:rsidRPr="00000000">
        <w:rPr>
          <w:color w:val="ffffff"/>
          <w:rtl w:val="0"/>
        </w:rPr>
        <w:t xml:space="preserve">The question this paper asks is not whether residue exists. It does. The question is whether residue can be made structured, measurable, and detectable in advance — embedded by a participating system at creation, surviving transformation, readable by a detector that needs no key, no secret, and no infrastructure beyond the public knowledge of what prime numbers look like in a bounded space.</w:t>
      </w:r>
    </w:p>
    <w:p w:rsidR="00000000" w:rsidDel="00000000" w:rsidP="00000000" w:rsidRDefault="00000000" w:rsidRPr="00000000" w14:paraId="00000018">
      <w:pPr>
        <w:rPr>
          <w:color w:val="ffffff"/>
        </w:rPr>
      </w:pPr>
      <w:r w:rsidDel="00000000" w:rsidR="00000000" w:rsidRPr="00000000">
        <w:rPr>
          <w:rtl w:val="0"/>
        </w:rPr>
      </w:r>
    </w:p>
    <w:p w:rsidR="00000000" w:rsidDel="00000000" w:rsidP="00000000" w:rsidRDefault="00000000" w:rsidRPr="00000000" w14:paraId="00000019">
      <w:pPr>
        <w:rPr>
          <w:color w:val="ffffff"/>
        </w:rPr>
      </w:pPr>
      <w:r w:rsidDel="00000000" w:rsidR="00000000" w:rsidRPr="00000000">
        <w:rPr>
          <w:color w:val="ffffff"/>
          <w:rtl w:val="0"/>
        </w:rPr>
        <w:t xml:space="preserve">The answer is yes. The structure is the signal. The signal is the evidence.</w:t>
      </w:r>
    </w:p>
    <w:p w:rsidR="00000000" w:rsidDel="00000000" w:rsidP="00000000" w:rsidRDefault="00000000" w:rsidRPr="00000000" w14:paraId="0000001A">
      <w:pPr>
        <w:rPr>
          <w:color w:val="ffffff"/>
        </w:rPr>
      </w:pPr>
      <w:r w:rsidDel="00000000" w:rsidR="00000000" w:rsidRPr="00000000">
        <w:rPr>
          <w:rtl w:val="0"/>
        </w:rPr>
      </w:r>
    </w:p>
    <w:p w:rsidR="00000000" w:rsidDel="00000000" w:rsidP="00000000" w:rsidRDefault="00000000" w:rsidRPr="00000000" w14:paraId="0000001B">
      <w:pPr>
        <w:rPr>
          <w:color w:val="ffffff"/>
        </w:rPr>
      </w:pPr>
      <w:r w:rsidDel="00000000" w:rsidR="00000000" w:rsidRPr="00000000">
        <w:rPr>
          <w:color w:val="ffffff"/>
          <w:rtl w:val="0"/>
        </w:rPr>
        <w:t xml:space="preserve">---</w:t>
      </w:r>
    </w:p>
    <w:p w:rsidR="00000000" w:rsidDel="00000000" w:rsidP="00000000" w:rsidRDefault="00000000" w:rsidRPr="00000000" w14:paraId="0000001C">
      <w:pPr>
        <w:rPr>
          <w:color w:val="ffffff"/>
        </w:rPr>
      </w:pPr>
      <w:r w:rsidDel="00000000" w:rsidR="00000000" w:rsidRPr="00000000">
        <w:rPr>
          <w:rtl w:val="0"/>
        </w:rPr>
      </w:r>
    </w:p>
    <w:p w:rsidR="00000000" w:rsidDel="00000000" w:rsidP="00000000" w:rsidRDefault="00000000" w:rsidRPr="00000000" w14:paraId="0000001D">
      <w:pPr>
        <w:rPr>
          <w:color w:val="ffffff"/>
        </w:rPr>
      </w:pPr>
      <w:r w:rsidDel="00000000" w:rsidR="00000000" w:rsidRPr="00000000">
        <w:rPr>
          <w:color w:val="ffffff"/>
          <w:rtl w:val="0"/>
        </w:rPr>
        <w:t xml:space="preserve">### 1.3 Why Prime Gaps</w:t>
      </w:r>
    </w:p>
    <w:p w:rsidR="00000000" w:rsidDel="00000000" w:rsidP="00000000" w:rsidRDefault="00000000" w:rsidRPr="00000000" w14:paraId="0000001E">
      <w:pPr>
        <w:rPr>
          <w:color w:val="ffffff"/>
        </w:rPr>
      </w:pPr>
      <w:r w:rsidDel="00000000" w:rsidR="00000000" w:rsidRPr="00000000">
        <w:rPr>
          <w:rtl w:val="0"/>
        </w:rPr>
      </w:r>
    </w:p>
    <w:p w:rsidR="00000000" w:rsidDel="00000000" w:rsidP="00000000" w:rsidRDefault="00000000" w:rsidRPr="00000000" w14:paraId="0000001F">
      <w:pPr>
        <w:rPr>
          <w:color w:val="ffffff"/>
        </w:rPr>
      </w:pPr>
      <w:r w:rsidDel="00000000" w:rsidR="00000000" w:rsidRPr="00000000">
        <w:rPr>
          <w:color w:val="ffffff"/>
          <w:rtl w:val="0"/>
        </w:rPr>
        <w:t xml:space="preserve">Prime numbers are not selected here for mysticism or elegance, though they are elegant. They are selected because their distribution in any bounded space is analytically characterized public knowledge. Cramér, Hardy-Littlewood, Zhang, Maynard, Tao — the gap structure of primes is not a secret. It is mathematics. Any detector, anywhere, with no keys and no infrastructure, can know what prime gaps look like in a given bounded space and ask whether what it is measuring matches.</w:t>
      </w:r>
    </w:p>
    <w:p w:rsidR="00000000" w:rsidDel="00000000" w:rsidP="00000000" w:rsidRDefault="00000000" w:rsidRPr="00000000" w14:paraId="00000020">
      <w:pPr>
        <w:rPr>
          <w:color w:val="ffffff"/>
        </w:rPr>
      </w:pPr>
      <w:r w:rsidDel="00000000" w:rsidR="00000000" w:rsidRPr="00000000">
        <w:rPr>
          <w:rtl w:val="0"/>
        </w:rPr>
      </w:r>
    </w:p>
    <w:p w:rsidR="00000000" w:rsidDel="00000000" w:rsidP="00000000" w:rsidRDefault="00000000" w:rsidRPr="00000000" w14:paraId="00000021">
      <w:pPr>
        <w:rPr>
          <w:color w:val="ffffff"/>
        </w:rPr>
      </w:pPr>
      <w:r w:rsidDel="00000000" w:rsidR="00000000" w:rsidRPr="00000000">
        <w:rPr>
          <w:color w:val="ffffff"/>
          <w:rtl w:val="0"/>
        </w:rPr>
        <w:t xml:space="preserve">This is the property that makes the scheme work. The prior is public. The detector does not need to know which primes were used. It needs to know what prime gaps look like. It already does. Everyone does. It is in the literature.</w:t>
      </w:r>
    </w:p>
    <w:p w:rsidR="00000000" w:rsidDel="00000000" w:rsidP="00000000" w:rsidRDefault="00000000" w:rsidRPr="00000000" w14:paraId="00000022">
      <w:pPr>
        <w:rPr>
          <w:color w:val="ffffff"/>
        </w:rPr>
      </w:pPr>
      <w:r w:rsidDel="00000000" w:rsidR="00000000" w:rsidRPr="00000000">
        <w:rPr>
          <w:rtl w:val="0"/>
        </w:rPr>
      </w:r>
    </w:p>
    <w:p w:rsidR="00000000" w:rsidDel="00000000" w:rsidP="00000000" w:rsidRDefault="00000000" w:rsidRPr="00000000" w14:paraId="00000023">
      <w:pPr>
        <w:rPr>
          <w:color w:val="ffffff"/>
        </w:rPr>
      </w:pPr>
      <w:r w:rsidDel="00000000" w:rsidR="00000000" w:rsidRPr="00000000">
        <w:rPr>
          <w:color w:val="ffffff"/>
          <w:rtl w:val="0"/>
        </w:rPr>
        <w:t xml:space="preserve">The embedding uses prime gaps as a ruler between two values in decoded pixel space. The ruler is carried by the file. The ruler survives because compression distorts values together, not independently — correlated error partially cancels in the relational measurement. One surviving ruler in one location is sufficient evidence of participation.</w:t>
      </w:r>
    </w:p>
    <w:p w:rsidR="00000000" w:rsidDel="00000000" w:rsidP="00000000" w:rsidRDefault="00000000" w:rsidRPr="00000000" w14:paraId="00000024">
      <w:pPr>
        <w:rPr>
          <w:color w:val="ffffff"/>
        </w:rPr>
      </w:pPr>
      <w:r w:rsidDel="00000000" w:rsidR="00000000" w:rsidRPr="00000000">
        <w:rPr>
          <w:rtl w:val="0"/>
        </w:rPr>
      </w:r>
    </w:p>
    <w:p w:rsidR="00000000" w:rsidDel="00000000" w:rsidP="00000000" w:rsidRDefault="00000000" w:rsidRPr="00000000" w14:paraId="00000025">
      <w:pPr>
        <w:rPr>
          <w:color w:val="ffffff"/>
        </w:rPr>
      </w:pPr>
      <w:r w:rsidDel="00000000" w:rsidR="00000000" w:rsidRPr="00000000">
        <w:rPr>
          <w:color w:val="ffffff"/>
          <w:rtl w:val="0"/>
        </w:rPr>
        <w:t xml:space="preserve">A freshman can hold this. A prime gap is just the distance between two prime numbers. You embed that distance as the relationship between two pixel values. Compression moves both values but moves them together. The distance survives. You measure the distance. You know someone was there.</w:t>
      </w:r>
    </w:p>
    <w:p w:rsidR="00000000" w:rsidDel="00000000" w:rsidP="00000000" w:rsidRDefault="00000000" w:rsidRPr="00000000" w14:paraId="00000026">
      <w:pPr>
        <w:rPr>
          <w:color w:val="ffffff"/>
        </w:rPr>
      </w:pPr>
      <w:r w:rsidDel="00000000" w:rsidR="00000000" w:rsidRPr="00000000">
        <w:rPr>
          <w:rtl w:val="0"/>
        </w:rPr>
      </w:r>
    </w:p>
    <w:p w:rsidR="00000000" w:rsidDel="00000000" w:rsidP="00000000" w:rsidRDefault="00000000" w:rsidRPr="00000000" w14:paraId="00000027">
      <w:pPr>
        <w:rPr>
          <w:color w:val="ffffff"/>
        </w:rPr>
      </w:pPr>
      <w:r w:rsidDel="00000000" w:rsidR="00000000" w:rsidRPr="00000000">
        <w:rPr>
          <w:color w:val="ffffff"/>
          <w:rtl w:val="0"/>
        </w:rPr>
        <w:t xml:space="preserve">That is the scheme. Everything that follows is proof that it works.</w:t>
      </w:r>
    </w:p>
    <w:p w:rsidR="00000000" w:rsidDel="00000000" w:rsidP="00000000" w:rsidRDefault="00000000" w:rsidRPr="00000000" w14:paraId="00000028">
      <w:pPr>
        <w:rPr>
          <w:color w:val="ffffff"/>
        </w:rPr>
      </w:pPr>
      <w:r w:rsidDel="00000000" w:rsidR="00000000" w:rsidRPr="00000000">
        <w:rPr>
          <w:rtl w:val="0"/>
        </w:rPr>
      </w:r>
    </w:p>
    <w:p w:rsidR="00000000" w:rsidDel="00000000" w:rsidP="00000000" w:rsidRDefault="00000000" w:rsidRPr="00000000" w14:paraId="00000029">
      <w:pPr>
        <w:rPr>
          <w:color w:val="ffffff"/>
        </w:rPr>
      </w:pPr>
      <w:r w:rsidDel="00000000" w:rsidR="00000000" w:rsidRPr="00000000">
        <w:rPr>
          <w:color w:val="ffffff"/>
          <w:rtl w:val="0"/>
        </w:rPr>
        <w:t xml:space="preserve">---</w:t>
      </w:r>
    </w:p>
    <w:p w:rsidR="00000000" w:rsidDel="00000000" w:rsidP="00000000" w:rsidRDefault="00000000" w:rsidRPr="00000000" w14:paraId="0000002A">
      <w:pPr>
        <w:rPr>
          <w:color w:val="ffffff"/>
        </w:rPr>
      </w:pPr>
      <w:r w:rsidDel="00000000" w:rsidR="00000000" w:rsidRPr="00000000">
        <w:rPr>
          <w:rtl w:val="0"/>
        </w:rPr>
      </w:r>
    </w:p>
    <w:p w:rsidR="00000000" w:rsidDel="00000000" w:rsidP="00000000" w:rsidRDefault="00000000" w:rsidRPr="00000000" w14:paraId="0000002B">
      <w:pPr>
        <w:rPr>
          <w:color w:val="ffffff"/>
        </w:rPr>
      </w:pPr>
      <w:r w:rsidDel="00000000" w:rsidR="00000000" w:rsidRPr="00000000">
        <w:rPr>
          <w:color w:val="ffffff"/>
          <w:rtl w:val="0"/>
        </w:rPr>
        <w:t xml:space="preserve">### 1.4 What This Is Not</w:t>
      </w:r>
    </w:p>
    <w:p w:rsidR="00000000" w:rsidDel="00000000" w:rsidP="00000000" w:rsidRDefault="00000000" w:rsidRPr="00000000" w14:paraId="0000002C">
      <w:pPr>
        <w:rPr>
          <w:color w:val="ffffff"/>
        </w:rPr>
      </w:pPr>
      <w:r w:rsidDel="00000000" w:rsidR="00000000" w:rsidRPr="00000000">
        <w:rPr>
          <w:rtl w:val="0"/>
        </w:rPr>
      </w:r>
    </w:p>
    <w:p w:rsidR="00000000" w:rsidDel="00000000" w:rsidP="00000000" w:rsidRDefault="00000000" w:rsidRPr="00000000" w14:paraId="0000002D">
      <w:pPr>
        <w:rPr>
          <w:color w:val="ffffff"/>
        </w:rPr>
      </w:pPr>
      <w:r w:rsidDel="00000000" w:rsidR="00000000" w:rsidRPr="00000000">
        <w:rPr>
          <w:color w:val="ffffff"/>
          <w:rtl w:val="0"/>
        </w:rPr>
        <w:t xml:space="preserve">Not watermarking. Watermarking encodes a mark and detects the mark. This scheme encodes a relationship and detects a distribution. The mark is not the signal. The distribution is the signal. Reviewers who map this onto existing watermarking literature will find it does not fit. The frame is wrong, not the scheme.</w:t>
      </w:r>
    </w:p>
    <w:p w:rsidR="00000000" w:rsidDel="00000000" w:rsidP="00000000" w:rsidRDefault="00000000" w:rsidRPr="00000000" w14:paraId="0000002E">
      <w:pPr>
        <w:rPr>
          <w:color w:val="ffffff"/>
        </w:rPr>
      </w:pPr>
      <w:r w:rsidDel="00000000" w:rsidR="00000000" w:rsidRPr="00000000">
        <w:rPr>
          <w:rtl w:val="0"/>
        </w:rPr>
      </w:r>
    </w:p>
    <w:p w:rsidR="00000000" w:rsidDel="00000000" w:rsidP="00000000" w:rsidRDefault="00000000" w:rsidRPr="00000000" w14:paraId="0000002F">
      <w:pPr>
        <w:rPr>
          <w:color w:val="ffffff"/>
        </w:rPr>
      </w:pPr>
      <w:r w:rsidDel="00000000" w:rsidR="00000000" w:rsidRPr="00000000">
        <w:rPr>
          <w:color w:val="ffffff"/>
          <w:rtl w:val="0"/>
        </w:rPr>
        <w:t xml:space="preserve">Not steganography. Steganography hides a payload for a receiver who holds a key. This scheme hides nothing. There is no payload, no receiver, no key. The relationship is detectable by anyone who knows what prime gaps look like, which is everyone. A seismograph is not a microphone. Both measure vibration. Neither is the other.</w:t>
      </w:r>
    </w:p>
    <w:p w:rsidR="00000000" w:rsidDel="00000000" w:rsidP="00000000" w:rsidRDefault="00000000" w:rsidRPr="00000000" w14:paraId="00000030">
      <w:pPr>
        <w:rPr>
          <w:color w:val="ffffff"/>
        </w:rPr>
      </w:pPr>
      <w:r w:rsidDel="00000000" w:rsidR="00000000" w:rsidRPr="00000000">
        <w:rPr>
          <w:rtl w:val="0"/>
        </w:rPr>
      </w:r>
    </w:p>
    <w:p w:rsidR="00000000" w:rsidDel="00000000" w:rsidP="00000000" w:rsidRDefault="00000000" w:rsidRPr="00000000" w14:paraId="00000031">
      <w:pPr>
        <w:rPr>
          <w:color w:val="ffffff"/>
        </w:rPr>
      </w:pPr>
      <w:r w:rsidDel="00000000" w:rsidR="00000000" w:rsidRPr="00000000">
        <w:rPr>
          <w:color w:val="ffffff"/>
          <w:rtl w:val="0"/>
        </w:rPr>
        <w:t xml:space="preserve">Not DRM. No access control. No copy prevention. No enforcement mechanism of any kind. The scheme produces measurements. Humans and courts decide what measurements mean.</w:t>
      </w:r>
    </w:p>
    <w:p w:rsidR="00000000" w:rsidDel="00000000" w:rsidP="00000000" w:rsidRDefault="00000000" w:rsidRPr="00000000" w14:paraId="00000032">
      <w:pPr>
        <w:rPr>
          <w:color w:val="ffffff"/>
        </w:rPr>
      </w:pPr>
      <w:r w:rsidDel="00000000" w:rsidR="00000000" w:rsidRPr="00000000">
        <w:rPr>
          <w:rtl w:val="0"/>
        </w:rPr>
      </w:r>
    </w:p>
    <w:p w:rsidR="00000000" w:rsidDel="00000000" w:rsidP="00000000" w:rsidRDefault="00000000" w:rsidRPr="00000000" w14:paraId="00000033">
      <w:pPr>
        <w:rPr>
          <w:color w:val="ffffff"/>
        </w:rPr>
      </w:pPr>
      <w:r w:rsidDel="00000000" w:rsidR="00000000" w:rsidRPr="00000000">
        <w:rPr>
          <w:color w:val="ffffff"/>
          <w:rtl w:val="0"/>
        </w:rPr>
        <w:t xml:space="preserve">Not a cryptographic primitive. Prime gaps are used as a statistical prior, not as a security guarantee. The scheme's security properties are economic and thermodynamic, not cryptographic.</w:t>
      </w:r>
    </w:p>
    <w:p w:rsidR="00000000" w:rsidDel="00000000" w:rsidP="00000000" w:rsidRDefault="00000000" w:rsidRPr="00000000" w14:paraId="00000034">
      <w:pPr>
        <w:rPr>
          <w:color w:val="ffffff"/>
        </w:rPr>
      </w:pPr>
      <w:r w:rsidDel="00000000" w:rsidR="00000000" w:rsidRPr="00000000">
        <w:rPr>
          <w:rtl w:val="0"/>
        </w:rPr>
      </w:r>
    </w:p>
    <w:p w:rsidR="00000000" w:rsidDel="00000000" w:rsidP="00000000" w:rsidRDefault="00000000" w:rsidRPr="00000000" w14:paraId="00000035">
      <w:pPr>
        <w:rPr>
          <w:color w:val="ffffff"/>
        </w:rPr>
      </w:pPr>
      <w:r w:rsidDel="00000000" w:rsidR="00000000" w:rsidRPr="00000000">
        <w:rPr>
          <w:color w:val="ffffff"/>
          <w:rtl w:val="0"/>
        </w:rPr>
        <w:t xml:space="preserve">---</w:t>
      </w:r>
    </w:p>
    <w:p w:rsidR="00000000" w:rsidDel="00000000" w:rsidP="00000000" w:rsidRDefault="00000000" w:rsidRPr="00000000" w14:paraId="00000036">
      <w:pPr>
        <w:rPr>
          <w:color w:val="ffffff"/>
        </w:rPr>
      </w:pPr>
      <w:r w:rsidDel="00000000" w:rsidR="00000000" w:rsidRPr="00000000">
        <w:rPr>
          <w:rtl w:val="0"/>
        </w:rPr>
      </w:r>
    </w:p>
    <w:p w:rsidR="00000000" w:rsidDel="00000000" w:rsidP="00000000" w:rsidRDefault="00000000" w:rsidRPr="00000000" w14:paraId="00000037">
      <w:pPr>
        <w:rPr>
          <w:color w:val="ffffff"/>
        </w:rPr>
      </w:pPr>
      <w:r w:rsidDel="00000000" w:rsidR="00000000" w:rsidRPr="00000000">
        <w:rPr>
          <w:color w:val="ffffff"/>
          <w:rtl w:val="0"/>
        </w:rPr>
        <w:t xml:space="preserve">### 1.5 The Scope of This Paper's Claims</w:t>
      </w:r>
    </w:p>
    <w:p w:rsidR="00000000" w:rsidDel="00000000" w:rsidP="00000000" w:rsidRDefault="00000000" w:rsidRPr="00000000" w14:paraId="00000038">
      <w:pPr>
        <w:rPr>
          <w:color w:val="ffffff"/>
        </w:rPr>
      </w:pPr>
      <w:r w:rsidDel="00000000" w:rsidR="00000000" w:rsidRPr="00000000">
        <w:rPr>
          <w:rtl w:val="0"/>
        </w:rPr>
      </w:r>
    </w:p>
    <w:p w:rsidR="00000000" w:rsidDel="00000000" w:rsidP="00000000" w:rsidRDefault="00000000" w:rsidRPr="00000000" w14:paraId="00000039">
      <w:pPr>
        <w:rPr>
          <w:color w:val="ffffff"/>
        </w:rPr>
      </w:pPr>
      <w:r w:rsidDel="00000000" w:rsidR="00000000" w:rsidRPr="00000000">
        <w:rPr>
          <w:color w:val="ffffff"/>
          <w:rtl w:val="0"/>
        </w:rPr>
        <w:t xml:space="preserve">Whether provenance and attribution matter to creators, platforms, or legal systems at the scale this scheme requires is assumption zero of the economic argument — and it is an empirical question the authors cannot answer rigorously. The existence of copyright law is weak evidence that attribution matters to some people some of the time. Whether it matters enough to shift corpus-scale ingestion economics is unknown.</w:t>
      </w:r>
    </w:p>
    <w:p w:rsidR="00000000" w:rsidDel="00000000" w:rsidP="00000000" w:rsidRDefault="00000000" w:rsidRPr="00000000" w14:paraId="0000003A">
      <w:pPr>
        <w:rPr>
          <w:color w:val="ffffff"/>
        </w:rPr>
      </w:pPr>
      <w:r w:rsidDel="00000000" w:rsidR="00000000" w:rsidRPr="00000000">
        <w:rPr>
          <w:rtl w:val="0"/>
        </w:rPr>
      </w:r>
    </w:p>
    <w:p w:rsidR="00000000" w:rsidDel="00000000" w:rsidP="00000000" w:rsidRDefault="00000000" w:rsidRPr="00000000" w14:paraId="0000003B">
      <w:pPr>
        <w:rPr>
          <w:color w:val="ffffff"/>
        </w:rPr>
      </w:pPr>
      <w:r w:rsidDel="00000000" w:rsidR="00000000" w:rsidRPr="00000000">
        <w:rPr>
          <w:color w:val="ffffff"/>
          <w:rtl w:val="0"/>
        </w:rPr>
        <w:t xml:space="preserve">The technical contribution stands independent of whether assumption zero is true. If attribution turns out not to matter to anyone, this paper describes an elegant solution to a problem nobody has.</w:t>
      </w:r>
    </w:p>
    <w:p w:rsidR="00000000" w:rsidDel="00000000" w:rsidP="00000000" w:rsidRDefault="00000000" w:rsidRPr="00000000" w14:paraId="0000003C">
      <w:pPr>
        <w:rPr>
          <w:color w:val="ffffff"/>
        </w:rPr>
      </w:pPr>
      <w:r w:rsidDel="00000000" w:rsidR="00000000" w:rsidRPr="00000000">
        <w:rPr>
          <w:rtl w:val="0"/>
        </w:rPr>
      </w:r>
    </w:p>
    <w:p w:rsidR="00000000" w:rsidDel="00000000" w:rsidP="00000000" w:rsidRDefault="00000000" w:rsidRPr="00000000" w14:paraId="0000003D">
      <w:pPr>
        <w:rPr>
          <w:color w:val="ffffff"/>
        </w:rPr>
      </w:pPr>
      <w:r w:rsidDel="00000000" w:rsidR="00000000" w:rsidRPr="00000000">
        <w:rPr>
          <w:color w:val="ffffff"/>
          <w:rtl w:val="0"/>
        </w:rPr>
        <w:t xml:space="preserve">The authors are oriented around analytic number theory, information theory, detection engineering, and the economics of information asymmetry. They are not fully competent in all of them. The orientation is what allowed the connection. The competence gaps are why this paper explicitly invites friction. Having eaten the tasting menu does not make you the chef. It makes you someone who noticed the dish was wrong.</w:t>
      </w:r>
    </w:p>
    <w:p w:rsidR="00000000" w:rsidDel="00000000" w:rsidP="00000000" w:rsidRDefault="00000000" w:rsidRPr="00000000" w14:paraId="0000003E">
      <w:pPr>
        <w:rPr>
          <w:color w:val="ffffff"/>
        </w:rPr>
      </w:pPr>
      <w:r w:rsidDel="00000000" w:rsidR="00000000" w:rsidRPr="00000000">
        <w:rPr>
          <w:rtl w:val="0"/>
        </w:rPr>
      </w:r>
    </w:p>
    <w:p w:rsidR="00000000" w:rsidDel="00000000" w:rsidP="00000000" w:rsidRDefault="00000000" w:rsidRPr="00000000" w14:paraId="0000003F">
      <w:pPr>
        <w:rPr>
          <w:color w:val="ffffff"/>
        </w:rPr>
      </w:pPr>
      <w:r w:rsidDel="00000000" w:rsidR="00000000" w:rsidRPr="00000000">
        <w:rPr>
          <w:color w:val="ffffff"/>
          <w:rtl w:val="0"/>
        </w:rPr>
        <w:t xml:space="preserve">---</w:t>
      </w:r>
    </w:p>
    <w:p w:rsidR="00000000" w:rsidDel="00000000" w:rsidP="00000000" w:rsidRDefault="00000000" w:rsidRPr="00000000" w14:paraId="00000040">
      <w:pPr>
        <w:rPr>
          <w:color w:val="ffffff"/>
        </w:rPr>
      </w:pPr>
      <w:r w:rsidDel="00000000" w:rsidR="00000000" w:rsidRPr="00000000">
        <w:rPr>
          <w:rtl w:val="0"/>
        </w:rPr>
      </w:r>
    </w:p>
    <w:p w:rsidR="00000000" w:rsidDel="00000000" w:rsidP="00000000" w:rsidRDefault="00000000" w:rsidRPr="00000000" w14:paraId="00000041">
      <w:pPr>
        <w:rPr>
          <w:color w:val="ffffff"/>
        </w:rPr>
      </w:pPr>
      <w:r w:rsidDel="00000000" w:rsidR="00000000" w:rsidRPr="00000000">
        <w:rPr>
          <w:color w:val="ffffff"/>
          <w:rtl w:val="0"/>
        </w:rPr>
        <w:t xml:space="preserve">### 1.6 Contributions</w:t>
      </w:r>
    </w:p>
    <w:p w:rsidR="00000000" w:rsidDel="00000000" w:rsidP="00000000" w:rsidRDefault="00000000" w:rsidRPr="00000000" w14:paraId="00000042">
      <w:pPr>
        <w:rPr>
          <w:color w:val="ffffff"/>
        </w:rPr>
      </w:pPr>
      <w:r w:rsidDel="00000000" w:rsidR="00000000" w:rsidRPr="00000000">
        <w:rPr>
          <w:rtl w:val="0"/>
        </w:rPr>
      </w:r>
    </w:p>
    <w:p w:rsidR="00000000" w:rsidDel="00000000" w:rsidP="00000000" w:rsidRDefault="00000000" w:rsidRPr="00000000" w14:paraId="00000043">
      <w:pPr>
        <w:rPr>
          <w:color w:val="ffffff"/>
        </w:rPr>
      </w:pPr>
      <w:r w:rsidDel="00000000" w:rsidR="00000000" w:rsidRPr="00000000">
        <w:rPr>
          <w:color w:val="ffffff"/>
          <w:rtl w:val="0"/>
        </w:rPr>
        <w:t xml:space="preserve">- A format-agnostic provenance signal detection scheme operating in decoded pixel space, requiring no cryptographic infrastructure for Layer 1 detection</w:t>
      </w:r>
    </w:p>
    <w:p w:rsidR="00000000" w:rsidDel="00000000" w:rsidP="00000000" w:rsidRDefault="00000000" w:rsidRPr="00000000" w14:paraId="00000044">
      <w:pPr>
        <w:rPr>
          <w:color w:val="ffffff"/>
        </w:rPr>
      </w:pPr>
      <w:r w:rsidDel="00000000" w:rsidR="00000000" w:rsidRPr="00000000">
        <w:rPr>
          <w:color w:val="ffffff"/>
          <w:rtl w:val="0"/>
        </w:rPr>
        <w:t xml:space="preserve">- Dual-layer embedding across content and container spaces with independent detectability and independent survival characteristics</w:t>
      </w:r>
    </w:p>
    <w:p w:rsidR="00000000" w:rsidDel="00000000" w:rsidP="00000000" w:rsidRDefault="00000000" w:rsidRPr="00000000" w14:paraId="00000045">
      <w:pPr>
        <w:rPr>
          <w:color w:val="ffffff"/>
        </w:rPr>
      </w:pPr>
      <w:r w:rsidDel="00000000" w:rsidR="00000000" w:rsidRPr="00000000">
        <w:rPr>
          <w:rFonts w:ascii="Cardo" w:cs="Cardo" w:eastAsia="Cardo" w:hAnsi="Cardo"/>
          <w:color w:val="ffffff"/>
          <w:rtl w:val="0"/>
        </w:rPr>
        <w:t xml:space="preserve">- A continuous confidence metric ρ and survival rate S suitable for forensic and legal contexts, including transformation measurement for fair use analysis</w:t>
      </w:r>
    </w:p>
    <w:p w:rsidR="00000000" w:rsidDel="00000000" w:rsidP="00000000" w:rsidRDefault="00000000" w:rsidRPr="00000000" w14:paraId="00000046">
      <w:pPr>
        <w:rPr>
          <w:color w:val="ffffff"/>
        </w:rPr>
      </w:pPr>
      <w:r w:rsidDel="00000000" w:rsidR="00000000" w:rsidRPr="00000000">
        <w:rPr>
          <w:color w:val="ffffff"/>
          <w:rtl w:val="0"/>
        </w:rPr>
        <w:t xml:space="preserve">- Economic asymmetry argument at corpus scale: embedding cost O(1) per file, suppression cost O(n) per file with forensic residue accumulation</w:t>
      </w:r>
    </w:p>
    <w:p w:rsidR="00000000" w:rsidDel="00000000" w:rsidP="00000000" w:rsidRDefault="00000000" w:rsidRPr="00000000" w14:paraId="00000047">
      <w:pPr>
        <w:rPr>
          <w:color w:val="ffffff"/>
        </w:rPr>
      </w:pPr>
      <w:r w:rsidDel="00000000" w:rsidR="00000000" w:rsidRPr="00000000">
        <w:rPr>
          <w:color w:val="ffffff"/>
          <w:rtl w:val="0"/>
        </w:rPr>
        <w:t xml:space="preserve">- Inversion of defender burden: the adversary requires perfect coverage, the creator requires one surviving canary</w:t>
      </w:r>
    </w:p>
    <w:p w:rsidR="00000000" w:rsidDel="00000000" w:rsidP="00000000" w:rsidRDefault="00000000" w:rsidRPr="00000000" w14:paraId="00000048">
      <w:pPr>
        <w:rPr>
          <w:color w:val="ffffff"/>
        </w:rPr>
      </w:pPr>
      <w:r w:rsidDel="00000000" w:rsidR="00000000" w:rsidRPr="00000000">
        <w:rPr>
          <w:color w:val="ffffff"/>
          <w:rtl w:val="0"/>
        </w:rPr>
        <w:t xml:space="preserve">- Voluntary public commitment registry enabling legitimacy gradient without central authority, with cryptographic collision semantics</w:t>
      </w:r>
    </w:p>
    <w:p w:rsidR="00000000" w:rsidDel="00000000" w:rsidP="00000000" w:rsidRDefault="00000000" w:rsidRPr="00000000" w14:paraId="00000049">
      <w:pPr>
        <w:rPr>
          <w:color w:val="ffffff"/>
        </w:rPr>
      </w:pPr>
      <w:r w:rsidDel="00000000" w:rsidR="00000000" w:rsidRPr="00000000">
        <w:rPr>
          <w:color w:val="ffffff"/>
          <w:rtl w:val="0"/>
        </w:rPr>
        <w:t xml:space="preserve">- Characterization of emergent corpus-level forensic signal beyond the primary file-level provenance claim</w:t>
      </w:r>
    </w:p>
    <w:p w:rsidR="00000000" w:rsidDel="00000000" w:rsidP="00000000" w:rsidRDefault="00000000" w:rsidRPr="00000000" w14:paraId="0000004A">
      <w:pPr>
        <w:rPr>
          <w:color w:val="ffffff"/>
        </w:rPr>
      </w:pPr>
      <w:r w:rsidDel="00000000" w:rsidR="00000000" w:rsidRPr="00000000">
        <w:rPr>
          <w:color w:val="ffffff"/>
          <w:rtl w:val="0"/>
        </w:rPr>
        <w:t xml:space="preserve">- Thermodynamic framing: provenance as local entropy reduction, suppression as thermodynamic work paid by the adversary</w:t>
      </w:r>
    </w:p>
    <w:p w:rsidR="00000000" w:rsidDel="00000000" w:rsidP="00000000" w:rsidRDefault="00000000" w:rsidRPr="00000000" w14:paraId="0000004B">
      <w:pPr>
        <w:rPr>
          <w:color w:val="ffffff"/>
        </w:rPr>
      </w:pPr>
      <w:r w:rsidDel="00000000" w:rsidR="00000000" w:rsidRPr="00000000">
        <w:rPr>
          <w:rtl w:val="0"/>
        </w:rPr>
      </w:r>
    </w:p>
    <w:p w:rsidR="00000000" w:rsidDel="00000000" w:rsidP="00000000" w:rsidRDefault="00000000" w:rsidRPr="00000000" w14:paraId="0000004C">
      <w:pPr>
        <w:rPr>
          <w:color w:val="ffffff"/>
        </w:rPr>
      </w:pPr>
      <w:r w:rsidDel="00000000" w:rsidR="00000000" w:rsidRPr="00000000">
        <w:rPr>
          <w:color w:val="ffffff"/>
          <w:rtl w:val="0"/>
        </w:rPr>
        <w:t xml:space="preserve">---</w:t>
      </w:r>
    </w:p>
    <w:p w:rsidR="00000000" w:rsidDel="00000000" w:rsidP="00000000" w:rsidRDefault="00000000" w:rsidRPr="00000000" w14:paraId="0000004D">
      <w:pPr>
        <w:rPr>
          <w:color w:val="ffffff"/>
        </w:rPr>
      </w:pPr>
      <w:r w:rsidDel="00000000" w:rsidR="00000000" w:rsidRPr="00000000">
        <w:rPr>
          <w:rtl w:val="0"/>
        </w:rPr>
      </w:r>
    </w:p>
    <w:p w:rsidR="00000000" w:rsidDel="00000000" w:rsidP="00000000" w:rsidRDefault="00000000" w:rsidRPr="00000000" w14:paraId="0000004E">
      <w:pPr>
        <w:rPr>
          <w:color w:val="ffffff"/>
        </w:rPr>
      </w:pPr>
      <w:r w:rsidDel="00000000" w:rsidR="00000000" w:rsidRPr="00000000">
        <w:rPr>
          <w:color w:val="ffffff"/>
          <w:rtl w:val="0"/>
        </w:rPr>
        <w:t xml:space="preserve">### 1.7 Paper Organization</w:t>
      </w:r>
    </w:p>
    <w:p w:rsidR="00000000" w:rsidDel="00000000" w:rsidP="00000000" w:rsidRDefault="00000000" w:rsidRPr="00000000" w14:paraId="0000004F">
      <w:pPr>
        <w:rPr>
          <w:color w:val="ffffff"/>
        </w:rPr>
      </w:pPr>
      <w:r w:rsidDel="00000000" w:rsidR="00000000" w:rsidRPr="00000000">
        <w:rPr>
          <w:rtl w:val="0"/>
        </w:rPr>
      </w:r>
    </w:p>
    <w:p w:rsidR="00000000" w:rsidDel="00000000" w:rsidP="00000000" w:rsidRDefault="00000000" w:rsidRPr="00000000" w14:paraId="00000050">
      <w:pPr>
        <w:rPr>
          <w:color w:val="ffffff"/>
        </w:rPr>
      </w:pPr>
      <w:r w:rsidDel="00000000" w:rsidR="00000000" w:rsidRPr="00000000">
        <w:rPr>
          <w:color w:val="ffffff"/>
          <w:rtl w:val="0"/>
        </w:rPr>
        <w:t xml:space="preserve">Section 2 situates the work in existing literature and explains why existing frames do not apply. Section 3 describes the scheme in full. Section 4 analyzes its properties, failure modes, and adversarial landscape honestly. Section 5 describes the experimental program required to validate the claims. Section 6 describes applications. Section 7 discusses implications, limitations, and what the authors do not know. Section 8 concludes.</w:t>
      </w:r>
    </w:p>
    <w:p w:rsidR="00000000" w:rsidDel="00000000" w:rsidP="00000000" w:rsidRDefault="00000000" w:rsidRPr="00000000" w14:paraId="00000051">
      <w:pPr>
        <w:rPr>
          <w:color w:val="ffffff"/>
        </w:rPr>
      </w:pPr>
      <w:r w:rsidDel="00000000" w:rsidR="00000000" w:rsidRPr="00000000">
        <w:rPr>
          <w:rtl w:val="0"/>
        </w:rPr>
      </w:r>
    </w:p>
    <w:p w:rsidR="00000000" w:rsidDel="00000000" w:rsidP="00000000" w:rsidRDefault="00000000" w:rsidRPr="00000000" w14:paraId="00000052">
      <w:pPr>
        <w:rPr>
          <w:color w:val="ffffff"/>
        </w:rPr>
      </w:pPr>
      <w:r w:rsidDel="00000000" w:rsidR="00000000" w:rsidRPr="00000000">
        <w:rPr>
          <w:color w:val="ffffff"/>
          <w:rtl w:val="0"/>
        </w:rPr>
        <w:t xml:space="preserve">The experimental section is where the paper lives or dies. Everything before it is hypothesis. Everything after it is interpretation. The authors have compute. The brick wall must be tested.</w:t>
      </w:r>
    </w:p>
    <w:p w:rsidR="00000000" w:rsidDel="00000000" w:rsidP="00000000" w:rsidRDefault="00000000" w:rsidRPr="00000000" w14:paraId="00000053">
      <w:pPr>
        <w:rPr>
          <w:color w:val="ffffff"/>
        </w:rPr>
      </w:pPr>
      <w:r w:rsidDel="00000000" w:rsidR="00000000" w:rsidRPr="00000000">
        <w:rPr>
          <w:rtl w:val="0"/>
        </w:rPr>
      </w:r>
    </w:p>
    <w:p w:rsidR="00000000" w:rsidDel="00000000" w:rsidP="00000000" w:rsidRDefault="00000000" w:rsidRPr="00000000" w14:paraId="00000054">
      <w:pPr>
        <w:rPr>
          <w:color w:val="ffffff"/>
        </w:rPr>
      </w:pPr>
      <w:r w:rsidDel="00000000" w:rsidR="00000000" w:rsidRPr="00000000">
        <w:rPr>
          <w:color w:val="ffffff"/>
          <w:rtl w:val="0"/>
        </w:rPr>
        <w:t xml:space="preserve">---</w:t>
      </w:r>
    </w:p>
    <w:p w:rsidR="00000000" w:rsidDel="00000000" w:rsidP="00000000" w:rsidRDefault="00000000" w:rsidRPr="00000000" w14:paraId="00000055">
      <w:pPr>
        <w:rPr>
          <w:color w:val="ffffff"/>
        </w:rPr>
      </w:pPr>
      <w:r w:rsidDel="00000000" w:rsidR="00000000" w:rsidRPr="00000000">
        <w:rPr>
          <w:rtl w:val="0"/>
        </w:rPr>
      </w:r>
    </w:p>
    <w:p w:rsidR="00000000" w:rsidDel="00000000" w:rsidP="00000000" w:rsidRDefault="00000000" w:rsidRPr="00000000" w14:paraId="00000056">
      <w:pPr>
        <w:rPr>
          <w:color w:val="ffffff"/>
        </w:rPr>
      </w:pPr>
      <w:r w:rsidDel="00000000" w:rsidR="00000000" w:rsidRPr="00000000">
        <w:rPr>
          <w:color w:val="ffffff"/>
          <w:rtl w:val="0"/>
        </w:rPr>
        <w:t xml:space="preserve">Done. Freshman Feynman is in 1.3, third paragraph. The tasting menu is in 1.5. The axiomatic fiction frame opens cleanly in 1.1. The honest precision is load-bearing from the first section rather than saved for Discussion.</w:t>
      </w:r>
    </w:p>
    <w:p w:rsidR="00000000" w:rsidDel="00000000" w:rsidP="00000000" w:rsidRDefault="00000000" w:rsidRPr="00000000" w14:paraId="00000057">
      <w:pPr>
        <w:rPr>
          <w:color w:val="ffffff"/>
        </w:rPr>
      </w:pPr>
      <w:r w:rsidDel="00000000" w:rsidR="00000000" w:rsidRPr="00000000">
        <w:rPr>
          <w:rtl w:val="0"/>
        </w:rPr>
      </w:r>
    </w:p>
    <w:p w:rsidR="00000000" w:rsidDel="00000000" w:rsidP="00000000" w:rsidRDefault="00000000" w:rsidRPr="00000000" w14:paraId="00000058">
      <w:pPr>
        <w:rPr>
          <w:color w:val="ffffff"/>
        </w:rPr>
      </w:pPr>
      <w:r w:rsidDel="00000000" w:rsidR="00000000" w:rsidRPr="00000000">
        <w:rPr>
          <w:color w:val="ffffff"/>
          <w:rtl w:val="0"/>
        </w:rPr>
        <w:t xml:space="preserve">Shall I integrate this into the outline or keep it as a standalone draft section first?</w:t>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EB Garamond Medium">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Merriweather">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Alegreya">
    <w:embedRegular w:fontKey="{00000000-0000-0000-0000-000000000000}" r:id="rId20" w:subsetted="0"/>
    <w:embedBold w:fontKey="{00000000-0000-0000-0000-000000000000}" r:id="rId21" w:subsetted="0"/>
    <w:embedItalic w:fontKey="{00000000-0000-0000-0000-000000000000}" r:id="rId22" w:subsetted="0"/>
    <w:embedBoldItalic w:fontKey="{00000000-0000-0000-0000-000000000000}" r:id="rId2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w:cs="Alegreya" w:eastAsia="Alegreya" w:hAnsi="Alegreya"/>
        <w:sz w:val="24"/>
        <w:szCs w:val="24"/>
        <w:lang w:val="en"/>
      </w:rPr>
    </w:rPrDefault>
    <w:pPrDefault>
      <w:pPr>
        <w:spacing w:after="60"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300" w:lineRule="auto"/>
    </w:pPr>
    <w:rPr>
      <w:b w:val="1"/>
      <w:bCs w:val="1"/>
      <w:sz w:val="48"/>
      <w:szCs w:val="48"/>
    </w:rPr>
  </w:style>
  <w:style w:type="paragraph" w:styleId="Heading2">
    <w:name w:val="heading 2"/>
    <w:basedOn w:val="Normal"/>
    <w:next w:val="Normal"/>
    <w:pPr>
      <w:keepNext w:val="1"/>
      <w:keepLines w:val="1"/>
      <w:spacing w:after="60" w:line="300" w:lineRule="auto"/>
    </w:pPr>
    <w:rPr>
      <w:b w:val="1"/>
      <w:bCs w:val="1"/>
      <w:sz w:val="32"/>
      <w:szCs w:val="32"/>
    </w:rPr>
  </w:style>
  <w:style w:type="paragraph" w:styleId="Heading3">
    <w:name w:val="heading 3"/>
    <w:basedOn w:val="Normal"/>
    <w:next w:val="Normal"/>
    <w:pPr>
      <w:keepNext w:val="1"/>
      <w:keepLines w:val="1"/>
    </w:pPr>
    <w:rPr>
      <w:i w:val="1"/>
      <w:iCs w:val="1"/>
      <w:sz w:val="30"/>
      <w:szCs w:val="30"/>
    </w:rPr>
  </w:style>
  <w:style w:type="paragraph" w:styleId="Heading4">
    <w:name w:val="heading 4"/>
    <w:basedOn w:val="Normal"/>
    <w:next w:val="Normal"/>
    <w:pPr>
      <w:keepNext w:val="1"/>
      <w:keepLines w:val="1"/>
    </w:pPr>
    <w:rPr>
      <w:b w:val="1"/>
      <w:bCs w:val="1"/>
      <w:color w:val="666666"/>
      <w:sz w:val="26"/>
      <w:szCs w:val="26"/>
    </w:rPr>
  </w:style>
  <w:style w:type="paragraph" w:styleId="Heading5">
    <w:name w:val="heading 5"/>
    <w:basedOn w:val="Normal"/>
    <w:next w:val="Normal"/>
    <w:pPr>
      <w:keepNext w:val="1"/>
      <w:keepLines w:val="1"/>
      <w:pageBreakBefore w:val="0"/>
      <w:pBdr>
        <w:top w:color="666666" w:space="3" w:sz="8" w:val="single"/>
        <w:left w:color="666666" w:space="3" w:sz="8" w:val="single"/>
        <w:bottom w:color="666666" w:space="3" w:sz="8" w:val="single"/>
        <w:right w:color="666666" w:space="3" w:sz="8" w:val="single"/>
      </w:pBdr>
      <w:shd w:fill="434343" w:val="clear"/>
      <w:spacing w:line="360" w:lineRule="auto"/>
      <w:ind w:left="720" w:firstLine="0"/>
    </w:pPr>
    <w:rPr>
      <w:rFonts w:ascii="Roboto Mono" w:cs="Roboto Mono" w:eastAsia="Roboto Mono" w:hAnsi="Roboto Mono"/>
      <w:b w:val="1"/>
      <w:bCs w:val="1"/>
      <w:color w:val="00ff00"/>
      <w:sz w:val="20"/>
      <w:szCs w:val="20"/>
      <w:shd w:fill="434343" w:val="clear"/>
    </w:rPr>
  </w:style>
  <w:style w:type="paragraph" w:styleId="Heading6">
    <w:name w:val="heading 6"/>
    <w:basedOn w:val="Normal"/>
    <w:next w:val="Normal"/>
    <w:pPr>
      <w:keepNext w:val="1"/>
      <w:keepLines w:val="1"/>
      <w:pageBreakBefore w:val="0"/>
      <w:ind w:left="720" w:firstLine="0"/>
    </w:pPr>
    <w:rPr>
      <w:rFonts w:ascii="EB Garamond Medium" w:cs="EB Garamond Medium" w:eastAsia="EB Garamond Medium" w:hAnsi="EB Garamond Medium"/>
      <w:i w:val="1"/>
      <w:iCs w:val="1"/>
      <w:color w:val="434343"/>
      <w:sz w:val="26"/>
      <w:szCs w:val="26"/>
    </w:rPr>
  </w:style>
  <w:style w:type="paragraph" w:styleId="Title">
    <w:name w:val="Title"/>
    <w:basedOn w:val="Normal"/>
    <w:next w:val="Normal"/>
    <w:pPr>
      <w:keepNext w:val="1"/>
      <w:keepLines w:val="1"/>
      <w:spacing w:after="60" w:line="300" w:lineRule="auto"/>
      <w:jc w:val="center"/>
    </w:pPr>
    <w:rPr>
      <w:rFonts w:ascii="Merriweather" w:cs="Merriweather" w:eastAsia="Merriweather" w:hAnsi="Merriweather"/>
      <w:sz w:val="64"/>
      <w:szCs w:val="64"/>
    </w:rPr>
  </w:style>
  <w:style w:type="paragraph" w:styleId="Subtitle">
    <w:name w:val="Subtitle"/>
    <w:basedOn w:val="Normal"/>
    <w:next w:val="Normal"/>
    <w:pPr>
      <w:keepNext w:val="1"/>
      <w:keepLines w:val="1"/>
      <w:jc w:val="center"/>
    </w:pPr>
    <w:rPr>
      <w:rFonts w:ascii="Roboto Serif" w:cs="Roboto Serif" w:eastAsia="Roboto Serif" w:hAnsi="Roboto Serif"/>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Alegreya-regular.ttf"/><Relationship Id="rId11" Type="http://schemas.openxmlformats.org/officeDocument/2006/relationships/font" Target="fonts/EBGaramondMedium-boldItalic.ttf"/><Relationship Id="rId22" Type="http://schemas.openxmlformats.org/officeDocument/2006/relationships/font" Target="fonts/Alegreya-italic.ttf"/><Relationship Id="rId10" Type="http://schemas.openxmlformats.org/officeDocument/2006/relationships/font" Target="fonts/EBGaramondMedium-italic.ttf"/><Relationship Id="rId21" Type="http://schemas.openxmlformats.org/officeDocument/2006/relationships/font" Target="fonts/Alegreya-bold.ttf"/><Relationship Id="rId13" Type="http://schemas.openxmlformats.org/officeDocument/2006/relationships/font" Target="fonts/RobotoMono-bold.ttf"/><Relationship Id="rId12" Type="http://schemas.openxmlformats.org/officeDocument/2006/relationships/font" Target="fonts/RobotoMono-regular.ttf"/><Relationship Id="rId23" Type="http://schemas.openxmlformats.org/officeDocument/2006/relationships/font" Target="fonts/Alegreya-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EBGaramondMedium-bold.ttf"/><Relationship Id="rId15" Type="http://schemas.openxmlformats.org/officeDocument/2006/relationships/font" Target="fonts/RobotoMono-boldItalic.ttf"/><Relationship Id="rId14" Type="http://schemas.openxmlformats.org/officeDocument/2006/relationships/font" Target="fonts/RobotoMono-italic.ttf"/><Relationship Id="rId17" Type="http://schemas.openxmlformats.org/officeDocument/2006/relationships/font" Target="fonts/Merriweather-bold.ttf"/><Relationship Id="rId16" Type="http://schemas.openxmlformats.org/officeDocument/2006/relationships/font" Target="fonts/Merriweather-regular.ttf"/><Relationship Id="rId5" Type="http://schemas.openxmlformats.org/officeDocument/2006/relationships/font" Target="fonts/Cardo-regular.ttf"/><Relationship Id="rId19" Type="http://schemas.openxmlformats.org/officeDocument/2006/relationships/font" Target="fonts/Merriweather-boldItalic.ttf"/><Relationship Id="rId6" Type="http://schemas.openxmlformats.org/officeDocument/2006/relationships/font" Target="fonts/Cardo-bold.ttf"/><Relationship Id="rId18" Type="http://schemas.openxmlformats.org/officeDocument/2006/relationships/font" Target="fonts/Merriweather-italic.ttf"/><Relationship Id="rId7" Type="http://schemas.openxmlformats.org/officeDocument/2006/relationships/font" Target="fonts/Cardo-italic.ttf"/><Relationship Id="rId8" Type="http://schemas.openxmlformats.org/officeDocument/2006/relationships/font" Target="fonts/EBGaramondMedium-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