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 w:after="80" w:line="317" w:lineRule="auto"/>
      </w:pP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/>
          <w:color w:val="109871"/>
          <w:sz w:val="20"/>
        </w:rPr>
        <w:t>WHITE PAPER · 整合人的視角</w:t>
      </w:r>
    </w:p>
    <w:p>
      <w:pPr>
        <w:spacing w:after="40"/>
      </w:pPr>
      <w:r>
        <w:rPr>
          <w:rFonts w:ascii="Noto Serif TC" w:hAnsi="Noto Serif TC" w:eastAsia="Noto Serif TC"/>
          <w:b/>
          <w:color w:val="064E3B"/>
          <w:sz w:val="60"/>
        </w:rPr>
        <w:t>都更／危老</w:t>
        <w:br/>
        <w:t>整合開發評估總論</w:t>
      </w:r>
    </w:p>
    <w:p>
      <w:pPr>
        <w:spacing w:before="80" w:after="360" w:line="317" w:lineRule="auto"/>
      </w:pPr>
      <w:r>
        <w:rPr>
          <w:rFonts w:ascii="Microsoft JhengHei" w:hAnsi="Microsoft JhengHei" w:eastAsia="Microsoft JhengHei"/>
          <w:b/>
          <w:color w:val="44403C"/>
          <w:sz w:val="28"/>
        </w:rPr>
        <w:t>以不動產研析為脊椎，縫合法制、財務與人本</w:t>
      </w:r>
    </w:p>
    <w:p>
      <w:pPr>
        <w:spacing w:before="40" w:after="440" w:line="360" w:lineRule="auto"/>
      </w:pPr>
      <w:r>
        <w:rPr>
          <w:rFonts w:ascii="Microsoft JhengHei" w:hAnsi="Microsoft JhengHei" w:eastAsia="Microsoft JhengHei"/>
          <w:b w:val="0"/>
          <w:color w:val="44403C"/>
          <w:sz w:val="22"/>
        </w:rPr>
        <w:t>都更不是工程問題，是「法制 × 財務 × 人」的三體問題。本白皮書把都市更新法規、都市計畫、建築估價、稅制與 2026 房地產趨勢疊成一張判斷圖，並以「世界唯一的整合人」視角，提出一套最獨特的開發評估框架。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7370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查證日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2026-06-19</w:t>
            </w:r>
          </w:p>
        </w:tc>
      </w:tr>
      <w:tr>
        <w:tc>
          <w:tcPr>
            <w:tcW w:type="dxa" w:w="198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定位</w:t>
            </w:r>
          </w:p>
        </w:tc>
        <w:tc>
          <w:tcPr>
            <w:tcW w:type="dxa" w:w="737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方法論最上位思維框架（統攝 S1–S11 與投報兩層）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邊界</w:t>
            </w:r>
          </w:p>
        </w:tc>
        <w:tc>
          <w:tcPr>
            <w:tcW w:type="dxa" w:w="737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通用方法論・不含任何真實案件資料</w:t>
            </w:r>
          </w:p>
        </w:tc>
      </w:tr>
      <w:tr>
        <w:tc>
          <w:tcPr>
            <w:tcW w:type="dxa" w:w="198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閱讀對象</w:t>
            </w:r>
          </w:p>
        </w:tc>
        <w:tc>
          <w:tcPr>
            <w:tcW w:type="dxa" w:w="737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開發人員／整合團隊／評估分析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spacing w:before="240" w:after="100"/>
      </w:pPr>
      <w:r>
        <w:rPr>
          <w:rFonts w:ascii="Noto Serif TC" w:hAnsi="Noto Serif TC" w:eastAsia="Noto Serif TC"/>
          <w:b/>
          <w:color w:val="064E3B"/>
          <w:sz w:val="32"/>
        </w:rPr>
        <w:t>目錄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序章　為什麼需要「整合人」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第一部　法規宇宙：把所有規則疊成一張地圖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第二部　都市計畫上位整合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第三部　不動產研析作為分析脊椎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第四部　2026 趨勢透鏡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第五部　數據邏輯 × 人文思考的縫合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第六部　整合人評估框架（最獨特的角度）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第七部　報告格式（脈絡）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結語　整合人的三條鐵律</w:t>
      </w:r>
    </w:p>
    <w:p>
      <w:pPr>
        <w:spacing w:after="60"/>
      </w:pPr>
      <w:r>
        <w:rPr>
          <w:rFonts w:ascii="Microsoft JhengHei" w:hAnsi="Microsoft JhengHei" w:eastAsia="Microsoft JhengHei"/>
          <w:b w:val="0"/>
          <w:color w:val="1C1A17"/>
          <w:sz w:val="21"/>
        </w:rPr>
        <w:t>參考來源（查證日 2026-06-19）</w:t>
      </w:r>
    </w:p>
    <w:p>
      <w:r>
        <w:br w:type="page"/>
      </w: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序章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為什麼需要「整合人」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建築師談量體、估價師談價值、律師談條款、代銷談去化、地主談記憶與恐懼——每個專業都對，但每個只拿著一面透鏡。案子卡住，幾乎從不是「沒有人會算」，而是沒有人把所有透鏡疊在同一張圖上。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整合人的定位：不是說服者，是判斷者；不是中介，是縫合者。第一件事不是推案，是先查清楚「能不能做、划不划算、整不整得起來」三件事的交集。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一句話心法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把餅做大是數學，把人留下是人文；整合人要同時是會計師與人類學家。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第一部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法規宇宙：把所有規則疊成一張地圖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TL;DR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核心三法決定路徑與門檻，容積四源決定量體真相，估價與權變決定怎麼分，稅制決定誰負擔——而真正讓案子翻車的，常是「你沒想過的那一條」。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核心三法・同意門檻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81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法源</w:t>
            </w:r>
          </w:p>
        </w:tc>
        <w:tc>
          <w:tcPr>
            <w:tcW w:type="dxa" w:w="238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5159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同意門檻（依現行條文）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都市更新條例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多數決整合主幹</w:t>
            </w:r>
          </w:p>
        </w:tc>
        <w:tc>
          <w:tcPr>
            <w:tcW w:type="dxa" w:w="515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事業概要§22 &gt;1/2；事業計畫§37：第7條地區 &gt;1/2；其餘（含自行劃定）&gt;3/4；面積 &gt;9/10 者人數不計</w:t>
            </w:r>
          </w:p>
        </w:tc>
      </w:tr>
      <w:tr>
        <w:tc>
          <w:tcPr>
            <w:tcW w:type="dxa" w:w="181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都市計畫法</w:t>
            </w:r>
          </w:p>
        </w:tc>
        <w:tc>
          <w:tcPr>
            <w:tcW w:type="dxa" w:w="238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上位：分區・容積・都審</w:t>
            </w:r>
          </w:p>
        </w:tc>
        <w:tc>
          <w:tcPr>
            <w:tcW w:type="dxa" w:w="5159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決定「可建範圍」的法定基礎</w:t>
            </w:r>
          </w:p>
        </w:tc>
      </w:tr>
      <w:tr>
        <w:tc>
          <w:tcPr>
            <w:tcW w:type="dxa" w:w="181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危老條例</w:t>
            </w:r>
          </w:p>
        </w:tc>
        <w:tc>
          <w:tcPr>
            <w:tcW w:type="dxa" w:w="238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小基地快速通道</w:t>
            </w:r>
          </w:p>
        </w:tc>
        <w:tc>
          <w:tcPr>
            <w:tcW w:type="dxa" w:w="5159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全體（100%）同意，無須劃定更新單元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FBF3E6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C2701C"/>
                <w:sz w:val="17"/>
              </w:rPr>
              <w:t>2026 關鍵變動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危老時程獎勵已落日歸零（8→6→4→2→1%，至民國114／2025年5月歸零）。急迫性消退，路徑天平重新傾向都更多數決。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容積的真相：量體只有一個來源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835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</w:t>
            </w:r>
          </w:p>
        </w:tc>
        <w:tc>
          <w:tcPr>
            <w:tcW w:type="dxa" w:w="6406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法定容積</w:t>
            </w:r>
          </w:p>
        </w:tc>
        <w:tc>
          <w:tcPr>
            <w:tcW w:type="dxa" w:w="640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容積率 × 土地面積；FA 用使照基地面積，非謄本</w:t>
            </w:r>
          </w:p>
        </w:tc>
      </w:tr>
      <w:tr>
        <w:tc>
          <w:tcPr>
            <w:tcW w:type="dxa" w:w="28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都更容積獎勵（辦法・條例§65）</w:t>
            </w:r>
          </w:p>
        </w:tc>
        <w:tc>
          <w:tcPr>
            <w:tcW w:type="dxa" w:w="6406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上限法定 1.5 倍，或原建築容積 + 0.3 倍基準；容獎特快車擬直給1.5倍、捐社宅疊加至2倍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危老容積獎勵（條例§6）</w:t>
            </w:r>
          </w:p>
        </w:tc>
        <w:tc>
          <w:tcPr>
            <w:tcW w:type="dxa" w:w="640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上限法定 1.3 倍 或 原建築 1.15 倍；時程＋規模 ≤10%（時程已歸零）</w:t>
            </w:r>
          </w:p>
        </w:tc>
      </w:tr>
      <w:tr>
        <w:tc>
          <w:tcPr>
            <w:tcW w:type="dxa" w:w="283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§162 免計容積</w:t>
            </w:r>
          </w:p>
        </w:tc>
        <w:tc>
          <w:tcPr>
            <w:tcW w:type="dxa" w:w="6406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逐層核算（機電／梯廳／陽台）；總量法放大近 10 倍</w:t>
            </w:r>
          </w:p>
        </w:tc>
      </w:tr>
      <w:tr>
        <w:tc>
          <w:tcPr>
            <w:tcW w:type="dxa" w:w="283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容積移轉 TDR</w:t>
            </w:r>
          </w:p>
        </w:tc>
        <w:tc>
          <w:tcPr>
            <w:tcW w:type="dxa" w:w="640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古蹟／公設地容積移入，受移入上限管制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你可能沒想過的那幾條（盲區清單）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真正讓案子翻車的，常不是核心三法，而是這些邊界法規——整合人當前置風險逐項排雷：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49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法源</w:t>
            </w:r>
          </w:p>
        </w:tc>
        <w:tc>
          <w:tcPr>
            <w:tcW w:type="dxa" w:w="6746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為什麼會翻車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平均地權條例（2023/7）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限制預售換約、私法人購屋許可制（5年內不得移轉）、重罰炒作 → 改變買方結構與去化</w:t>
            </w:r>
          </w:p>
        </w:tc>
      </w:tr>
      <w:tr>
        <w:tc>
          <w:tcPr>
            <w:tcW w:type="dxa" w:w="24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公寓大廈管理條例</w:t>
            </w:r>
          </w:p>
        </w:tc>
        <w:tc>
          <w:tcPr>
            <w:tcW w:type="dxa" w:w="6746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交屋後管委會、規約、公設點交；更新前約定專用影響拆除同意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信託法・不動產開發信託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續建機制與資金專戶的法制基礎——制度信用取代公司信用</w:t>
            </w:r>
          </w:p>
        </w:tc>
      </w:tr>
      <w:tr>
        <w:tc>
          <w:tcPr>
            <w:tcW w:type="dxa" w:w="24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文化資產保存法</w:t>
            </w:r>
          </w:p>
        </w:tc>
        <w:tc>
          <w:tcPr>
            <w:tcW w:type="dxa" w:w="6746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老屋可能被列冊／指定，影響可拆性與容積（亦可換容積）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地質法・環評法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活動斷層／地質敏感區、一定規模需環評 → 可行性與時程風險</w:t>
            </w:r>
          </w:p>
        </w:tc>
      </w:tr>
      <w:tr>
        <w:tc>
          <w:tcPr>
            <w:tcW w:type="dxa" w:w="24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民法（共有・優先承買）</w:t>
            </w:r>
          </w:p>
        </w:tc>
        <w:tc>
          <w:tcPr>
            <w:tcW w:type="dxa" w:w="6746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持分、繼承未分割、優先承買權——權屬整合的硬骨頭</w:t>
            </w:r>
          </w:p>
        </w:tc>
      </w:tr>
      <w:tr>
        <w:tc>
          <w:tcPr>
            <w:tcW w:type="dxa" w:w="24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銀行法§72-2・土建融管制</w:t>
            </w:r>
          </w:p>
        </w:tc>
        <w:tc>
          <w:tcPr>
            <w:tcW w:type="dxa" w:w="67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放款水位與央行管制，直接決定資金到不到位（2026 重中之重）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第二部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都市計畫上位整合：先讀計畫，再談容積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TL;DR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容積率不是憑空的數字，它從上位計畫一路長下來；不讀都市計畫就算容積，等於在沙上蓋樓。</w:t>
            </w:r>
          </w:p>
        </w:tc>
      </w:tr>
    </w:tbl>
    <w:p>
      <w:pPr>
        <w:spacing w:after="40"/>
      </w:pP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上位計畫 → 分區管制 → 容積率／建蔽率：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先確認主要／細部計畫、退縮、開放空間、高度管制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都市設計審議：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一定規模須過都審，影響量體、外觀與時程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TOD／都市再生／策略地區：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常帶額外容積，是爭取量體的槓桿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容積移轉（TDR）：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受移入比例與區位上限管制，須與獎勵一併納入「容積帳」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整合人動作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在 S2 之前先做「都市計畫體檢表」：上位計畫、分區、容積率、都審門檻、再生／TOD 機會、容移可行性逐項查清，再進容積試算。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第三部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不動產研析作為分析脊椎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TL;DR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研析不是「算一個數字」，是建立一條可被挑戰的推理鏈——從最有效使用，到估價，到現金流，到風險。</w:t>
            </w:r>
          </w:p>
        </w:tc>
      </w:tr>
    </w:tbl>
    <w:p>
      <w:pPr>
        <w:spacing w:after="40"/>
      </w:pP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最有效使用分析（HBU）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四道篩網，缺一不可：① 法律允許 → ② 實質可能 → ③ 財務可行 → ④ 最大效益。整合人先問「該蓋什麼」，而非「能蓋多少」。</w:t>
      </w: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估價三方法・權變的更新前後權利價值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198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7257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在都更的落點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比較法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更新前權利價值、銷售單價假設（S3–S4）</w:t>
            </w:r>
          </w:p>
        </w:tc>
      </w:tr>
      <w:tr>
        <w:tc>
          <w:tcPr>
            <w:tcW w:type="dxa" w:w="198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收益法</w:t>
            </w:r>
          </w:p>
        </w:tc>
        <w:tc>
          <w:tcPr>
            <w:tcW w:type="dxa" w:w="7257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店舖、收益型物業、整體財務（S4）</w:t>
            </w:r>
          </w:p>
        </w:tc>
      </w:tr>
      <w:tr>
        <w:tc>
          <w:tcPr>
            <w:tcW w:type="dxa" w:w="198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成本法</w:t>
            </w:r>
          </w:p>
        </w:tc>
        <w:tc>
          <w:tcPr>
            <w:tcW w:type="dxa" w:w="7257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更新後評估、營建成本基準（S4・S7）</w:t>
            </w:r>
          </w:p>
        </w:tc>
      </w:tr>
    </w:tbl>
    <w:p>
      <w:pPr>
        <w:spacing w:after="40"/>
      </w:pP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權變估價：更新前權利價值由實施者委託 ≥3 家估價者查估，三家差距 20% 以內擇一並說明；未建築者以素地價值推估。估價是都更最常見的爭議引爆點——基準與選任須攤在陽光下。</w:t>
      </w: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財務研析：敏感度三軸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售價、營建單價、時程——2026 三者皆逆風（見第四部）。報告不是給一個數字，是給一條標明假設、可被反駁的推理鏈。</w:t>
      </w: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第四部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2026 趨勢透鏡：把時間軸納入評估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TL;DR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（查證 2026-06-19）高利率、餘屋賣壓、營造成本續漲、人口轉向、政策降溫、淨零碳上路——六股風同吹，且多數對都更危老是逆風中的順風（資金被擠進更新題材）。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147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透鏡</w:t>
            </w:r>
          </w:p>
        </w:tc>
        <w:tc>
          <w:tcPr>
            <w:tcW w:type="dxa" w:w="4082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2026 現況</w:t>
            </w:r>
          </w:p>
        </w:tc>
        <w:tc>
          <w:tcPr>
            <w:tcW w:type="dxa" w:w="3685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回寫評估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資金・利率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價緩跌量盤整；央行轉精準控管・用途引導，利率微降；土建融未鬆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折現率保守；素地難求＋限貸 → 火力集中都更危老</w:t>
            </w:r>
          </w:p>
        </w:tc>
      </w:tr>
      <w:tr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供給・餘屋</w:t>
            </w:r>
          </w:p>
        </w:tc>
        <w:tc>
          <w:tcPr>
            <w:tcW w:type="dxa" w:w="408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餘屋約 8–10 萬戶；2026–28 完工 32–36 萬戶，賣壓沉重</w:t>
            </w:r>
          </w:p>
        </w:tc>
        <w:tc>
          <w:tcPr>
            <w:tcW w:type="dxa" w:w="368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去化速度下修，回寫現金流與敏感度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營造成本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年漲 2–3%；台北 RC ≈每坪28萬、鋼構36萬、其他都會18–20萬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用總樓地板坪、升幅入模；共負上升→分回壓縮</w:t>
            </w:r>
          </w:p>
        </w:tc>
      </w:tr>
      <w:tr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人口結構</w:t>
            </w:r>
          </w:p>
        </w:tc>
        <w:tc>
          <w:tcPr>
            <w:tcW w:type="dxa" w:w="408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高齡化、少子化、家戶縮小</w:t>
            </w:r>
          </w:p>
        </w:tc>
        <w:tc>
          <w:tcPr>
            <w:tcW w:type="dxa" w:w="368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產品轉小宅・適老・無障礙</w:t>
            </w:r>
          </w:p>
        </w:tc>
      </w:tr>
      <w:tr>
        <w:tc>
          <w:tcPr>
            <w:tcW w:type="dxa" w:w="147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政策降溫</w:t>
            </w:r>
          </w:p>
        </w:tc>
        <w:tc>
          <w:tcPr>
            <w:tcW w:type="dxa" w:w="4082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平均地權・囤房稅2.0（全國歸戶2%–4.8%）・房地合一2.0</w:t>
            </w:r>
          </w:p>
        </w:tc>
        <w:tc>
          <w:tcPr>
            <w:tcW w:type="dxa" w:w="3685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買方轉自用・長期持有・法人退場</w:t>
            </w:r>
          </w:p>
        </w:tc>
      </w:tr>
      <w:tr>
        <w:tc>
          <w:tcPr>
            <w:tcW w:type="dxa" w:w="147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淨零・能效</w:t>
            </w:r>
          </w:p>
        </w:tc>
        <w:tc>
          <w:tcPr>
            <w:tcW w:type="dxa" w:w="4082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建築能效 BERS（2025/7實施，分級1+~7）；2040前50%既有達能效一級</w:t>
            </w:r>
          </w:p>
        </w:tc>
        <w:tc>
          <w:tcPr>
            <w:tcW w:type="dxa" w:w="3685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危老都更＝國家級減碳槓桿；能效＋綠建築疊加容獎、對接 ESG 資金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趨勢的整合啟示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2026 是「逆風中的結構性順風」——市場降溫，但限貸與淨零政策把資金與題材擠向都更危老。整合人要把六股風逐一回寫進敏感度，而非只喊「都更有前景」。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第五部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數據邏輯 × 人文思考的縫合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TL;DR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數據決定可行性（feasible），人文決定可成性（achievable）。能算出來的案子未必整合得起來；差別在人。</w:t>
            </w:r>
          </w:p>
        </w:tc>
      </w:tr>
    </w:tbl>
    <w:p>
      <w:pPr>
        <w:spacing w:after="40"/>
      </w:pP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把信任當資本：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整合的真正貨幣是信任。制度信用 &gt; 公司信用——信託、續建機制、連帶保證、單一數源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釘子戶不是貪婪，是恐懼：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多數「拿翹」其實是資訊不對稱下的恐懼型／理性質疑型。專業質疑是養分，不是阻礙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競合而非零和：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整合成功才有餅（正和），破局則餅歸零（雙輸）。合作把餅做大、競爭分餅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程序正義的記憶：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聽證、公展、估價選任每一步留痕，是制度成本，也是社會信任的修復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縫合準則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先用數據證明「值得做」，再用人文確保「做得成」；報告若只有前者，是半份報告。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第六部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整合人評估框架（最獨特的角度）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假設世界上只有一個都更整合人，他的簽名工具是「三層透鏡疊圖 × 短板診斷」。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06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能不能做</w:t>
            </w:r>
          </w:p>
        </w:tc>
        <w:tc>
          <w:tcPr>
            <w:tcW w:type="dxa" w:w="3061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划不划算</w:t>
            </w:r>
          </w:p>
        </w:tc>
        <w:tc>
          <w:tcPr>
            <w:tcW w:type="dxa" w:w="3118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整不整得起來</w:t>
            </w:r>
          </w:p>
        </w:tc>
      </w:tr>
      <w:tr>
        <w:tc>
          <w:tcPr>
            <w:tcW w:type="dxa" w:w="306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法制層</w:t>
            </w:r>
          </w:p>
        </w:tc>
        <w:tc>
          <w:tcPr>
            <w:tcW w:type="dxa" w:w="3061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財務層</w:t>
            </w:r>
          </w:p>
        </w:tc>
        <w:tc>
          <w:tcPr>
            <w:tcW w:type="dxa" w:w="311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人本層</w:t>
            </w:r>
          </w:p>
        </w:tc>
      </w:tr>
      <w:tr>
        <w:tc>
          <w:tcPr>
            <w:tcW w:type="dxa" w:w="306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容積・門檻・路徑</w:t>
            </w:r>
          </w:p>
        </w:tc>
        <w:tc>
          <w:tcPr>
            <w:tcW w:type="dxa" w:w="3061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投報・估價・稅</w:t>
            </w:r>
          </w:p>
        </w:tc>
        <w:tc>
          <w:tcPr>
            <w:tcW w:type="dxa" w:w="311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信任・賽局・程序</w:t>
            </w:r>
          </w:p>
        </w:tc>
      </w:tr>
    </w:tbl>
    <w:p>
      <w:pPr>
        <w:spacing w:after="40"/>
      </w:pPr>
    </w:p>
    <w:p>
      <w:pPr>
        <w:spacing w:before="40" w:after="80" w:line="317" w:lineRule="auto"/>
        <w:jc w:val="center"/>
      </w:pPr>
      <w:r>
        <w:rPr>
          <w:rFonts w:ascii="Microsoft JhengHei" w:hAnsi="Microsoft JhengHei" w:eastAsia="Microsoft JhengHei"/>
          <w:b w:val="0"/>
          <w:color w:val="8A837C"/>
          <w:sz w:val="20"/>
        </w:rPr>
        <w:t>整合人坐落於三者交集。</w:t>
      </w: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短板決定成敗（不是加總，是取最小）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傳統評估把各項加權相加；整合人反過來——三層各打一分，看最低的那一層。容積再漂亮（90）、投報再香（85），只要人本層是 20（信任崩、釘子戶僵局），案子就是 20 分。整合人先找短板，再決定要不要、以及如何補。</w:t>
      </w:r>
    </w:p>
    <w:p>
      <w:pPr>
        <w:spacing w:before="240" w:after="100"/>
      </w:pPr>
      <w:r>
        <w:rPr>
          <w:rFonts w:ascii="Noto Serif TC" w:hAnsi="Noto Serif TC" w:eastAsia="Noto Serif TC"/>
          <w:b/>
          <w:color w:val="1C1A17"/>
          <w:sz w:val="25"/>
        </w:rPr>
        <w:t>五個診斷問題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法制：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路徑選對了嗎？容積帳每分獎勵都對得上法源上限嗎？（§37／§65／§162）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財務：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在售價／營建／時程三逆風下，保守情境還活著嗎？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估價：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更新前權利價值的基準與選任透明嗎？三家收斂嗎？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人本：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同意率是真實的，還是偏好偽裝堆出的紙牌屋？短板戶是恐懼型還是拿翹型？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制度信用：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續建機制、信託、擔保、單一數源到位了嗎？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整合人的自我定位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當判斷者，不當說服者；先查 corporate substance，再談其他。同時看「現在的數字」與「會怎麼演變的人」。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第七部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報告格式（脈絡）：每份評估都這樣寫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 w:val="0"/>
          <w:color w:val="44403C"/>
          <w:sz w:val="21"/>
        </w:rPr>
        <w:t>報告不是資料堆疊，是一條有起承轉合的推理脈絡。從「這塊地的故事」開始，到「整合人的判斷」結束。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794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段</w:t>
            </w:r>
          </w:p>
        </w:tc>
        <w:tc>
          <w:tcPr>
            <w:tcW w:type="dxa" w:w="2268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標題</w:t>
            </w:r>
          </w:p>
        </w:tc>
        <w:tc>
          <w:tcPr>
            <w:tcW w:type="dxa" w:w="6180"/>
            <w:shd w:val="clear" w:color="auto" w:fill="0A5D4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脈絡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0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一頁判斷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三層分數＋短板＋去留建議，先講結論</w:t>
            </w:r>
          </w:p>
        </w:tc>
      </w:tr>
      <w:tr>
        <w:tc>
          <w:tcPr>
            <w:tcW w:type="dxa" w:w="7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1</w:t>
            </w:r>
          </w:p>
        </w:tc>
        <w:tc>
          <w:tcPr>
            <w:tcW w:type="dxa" w:w="226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基地的故事</w:t>
            </w:r>
          </w:p>
        </w:tc>
        <w:tc>
          <w:tcPr>
            <w:tcW w:type="dxa" w:w="618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區位、權屬、屋齡、紋理（人文起手）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2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法制體檢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路徑、上位計畫、容積帳、§162 逐層</w:t>
            </w:r>
          </w:p>
        </w:tc>
      </w:tr>
      <w:tr>
        <w:tc>
          <w:tcPr>
            <w:tcW w:type="dxa" w:w="7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3</w:t>
            </w:r>
          </w:p>
        </w:tc>
        <w:tc>
          <w:tcPr>
            <w:tcW w:type="dxa" w:w="226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不動產研析</w:t>
            </w:r>
          </w:p>
        </w:tc>
        <w:tc>
          <w:tcPr>
            <w:tcW w:type="dxa" w:w="618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最有效使用、估價三方法、權利價值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4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財務與敏感度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投報兩層、共負六科目、三逆風情境</w:t>
            </w:r>
          </w:p>
        </w:tc>
      </w:tr>
      <w:tr>
        <w:tc>
          <w:tcPr>
            <w:tcW w:type="dxa" w:w="7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5</w:t>
            </w:r>
          </w:p>
        </w:tc>
        <w:tc>
          <w:tcPr>
            <w:tcW w:type="dxa" w:w="226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趨勢回寫</w:t>
            </w:r>
          </w:p>
        </w:tc>
        <w:tc>
          <w:tcPr>
            <w:tcW w:type="dxa" w:w="618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利率／餘屋／營造／人口／政策／淨零</w:t>
            </w:r>
          </w:p>
        </w:tc>
      </w:tr>
      <w:tr>
        <w:tc>
          <w:tcPr>
            <w:tcW w:type="dxa" w:w="794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6</w:t>
            </w:r>
          </w:p>
        </w:tc>
        <w:tc>
          <w:tcPr>
            <w:tcW w:type="dxa" w:w="2268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人本與賽局</w:t>
            </w:r>
          </w:p>
        </w:tc>
        <w:tc>
          <w:tcPr>
            <w:tcW w:type="dxa" w:w="6180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同意結構、短板戶辨型、制度信用解方</w:t>
            </w:r>
          </w:p>
        </w:tc>
      </w:tr>
      <w:tr>
        <w:tc>
          <w:tcPr>
            <w:tcW w:type="dxa" w:w="794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7</w:t>
            </w:r>
          </w:p>
        </w:tc>
        <w:tc>
          <w:tcPr>
            <w:tcW w:type="dxa" w:w="2268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整合人判斷</w:t>
            </w:r>
          </w:p>
        </w:tc>
        <w:tc>
          <w:tcPr>
            <w:tcW w:type="dxa" w:w="6180"/>
            <w:shd w:val="clear" w:color="auto" w:fill="F1EEE6"/>
          </w:tcPr>
          <w:p>
            <w:pPr>
              <w:spacing w:after="20" w:before="20"/>
            </w:pPr>
            <w:r>
              <w:rPr>
                <w:rFonts w:ascii="Microsoft JhengHei" w:hAnsi="Microsoft JhengHei" w:eastAsia="Microsoft JhengHei"/>
                <w:b w:val="0"/>
                <w:color w:val="44403C"/>
                <w:sz w:val="18"/>
              </w:rPr>
              <w:t>短板、條件、時程賽局下的最適路徑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9F7F0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b/>
                <w:color w:val="064E3B"/>
                <w:sz w:val="17"/>
              </w:rPr>
              <w:t>寫法準則</w:t>
            </w:r>
          </w:p>
          <w:p>
            <w:pPr>
              <w:spacing w:before="20"/>
            </w:pPr>
            <w:r>
              <w:rPr>
                <w:rFonts w:ascii="Microsoft JhengHei" w:hAnsi="Microsoft JhengHei" w:eastAsia="Microsoft JhengHei"/>
                <w:b w:val="0"/>
                <w:color w:val="1C1A17"/>
                <w:sz w:val="20"/>
              </w:rPr>
              <w:t>每一節都回答「所以呢？」——資料之後一定接判斷；判斷之後一定標假設與來源。</w:t>
            </w:r>
          </w:p>
        </w:tc>
      </w:tr>
    </w:tbl>
    <w:p>
      <w:pPr>
        <w:spacing w:after="40"/>
      </w:pPr>
    </w:p>
    <w:p>
      <w:pPr>
        <w:spacing w:before="280" w:after="0"/>
      </w:pPr>
      <w:r>
        <w:rPr>
          <w:rFonts w:ascii="Microsoft JhengHei" w:hAnsi="Microsoft JhengHei" w:eastAsia="Microsoft JhengHei"/>
          <w:b/>
          <w:color w:val="109871"/>
          <w:sz w:val="17"/>
        </w:rPr>
        <w:t>結語</w:t>
      </w:r>
    </w:p>
    <w:p>
      <w:pPr>
        <w:spacing w:before="40" w:after="100"/>
      </w:pPr>
      <w:r>
        <w:rPr>
          <w:rFonts w:ascii="Noto Serif TC" w:hAnsi="Noto Serif TC" w:eastAsia="Noto Serif TC"/>
          <w:b/>
          <w:color w:val="064E3B"/>
          <w:sz w:val="32"/>
        </w:rPr>
        <w:t>整合人的三條鐵律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三層疊圖、短板決定：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能不能做 × 划不划算 × 整不整得起來，看最低的那一層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數據證明值得、人文確保做成：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兩者缺一，都是半份報告</w:t>
      </w:r>
    </w:p>
    <w:p>
      <w:pPr>
        <w:pStyle w:val="ListBullet"/>
        <w:spacing w:after="40" w:line="312" w:lineRule="auto"/>
      </w:pPr>
      <w:r>
        <w:rPr>
          <w:rFonts w:ascii="Microsoft JhengHei" w:hAnsi="Microsoft JhengHei" w:eastAsia="Microsoft JhengHei"/>
          <w:b/>
          <w:color w:val="1C1A17"/>
          <w:sz w:val="21"/>
        </w:rPr>
        <w:t>制度信用 &gt; 公司信用：</w:t>
      </w:r>
      <w:r>
        <w:rPr>
          <w:rFonts w:ascii="Microsoft JhengHei" w:hAnsi="Microsoft JhengHei" w:eastAsia="Microsoft JhengHei"/>
          <w:b w:val="0"/>
          <w:color w:val="44403C"/>
          <w:sz w:val="21"/>
        </w:rPr>
        <w:t>用信託、續建、擔保、單一數源、透明估價，把信任變成可計量、可交付的資本</w:t>
      </w:r>
    </w:p>
    <w:p>
      <w:pPr>
        <w:spacing w:before="40" w:after="80" w:line="317" w:lineRule="auto"/>
      </w:pPr>
      <w:r>
        <w:rPr>
          <w:rFonts w:ascii="Microsoft JhengHei" w:hAnsi="Microsoft JhengHei" w:eastAsia="Microsoft JhengHei"/>
          <w:b/>
          <w:color w:val="064E3B"/>
          <w:sz w:val="21"/>
        </w:rPr>
        <w:t>都更的終局不是蓋好一棟樓，是讓一群人願意一起把家交給未來。整合人是那個同時握著計算機與同理心的人。</w:t>
      </w:r>
    </w:p>
    <w:p>
      <w:pPr>
        <w:spacing w:before="240" w:after="100"/>
      </w:pPr>
      <w:r>
        <w:rPr>
          <w:rFonts w:ascii="Noto Serif TC" w:hAnsi="Noto Serif TC" w:eastAsia="Noto Serif TC"/>
          <w:b/>
          <w:color w:val="064E3B"/>
          <w:sz w:val="32"/>
        </w:rPr>
        <w:t>參考來源（查證日 2026-06-19）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44403C"/>
          <w:sz w:val="19"/>
        </w:rPr>
        <w:t>全國法規資料庫：都市更新條例§37、§67；不動產估價技術規則；都市更新權利變換實施辦法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44403C"/>
          <w:sz w:val="19"/>
        </w:rPr>
        <w:t>內政部：都市更新建築容積獎勵辦法；建築能效評估手冊 BERS（114/7/1 實施）；平均地權條例修正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44403C"/>
          <w:sz w:val="19"/>
        </w:rPr>
        <w:t>危老時程獎勵落日：聯合新聞網、安信建經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44403C"/>
          <w:sz w:val="19"/>
        </w:rPr>
        <w:t>稅制：房地合一稅 2.0（財政部 QA）；囤房稅 2.0（全國歸戶）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44403C"/>
          <w:sz w:val="19"/>
        </w:rPr>
        <w:t>淨零建築：2050 淨零・建築能效規章（CSRone）</w:t>
      </w:r>
    </w:p>
    <w:p>
      <w:pPr>
        <w:pStyle w:val="ListBullet"/>
        <w:spacing w:after="40"/>
      </w:pPr>
      <w:r>
        <w:rPr>
          <w:rFonts w:ascii="Microsoft JhengHei" w:hAnsi="Microsoft JhengHei" w:eastAsia="Microsoft JhengHei"/>
          <w:b w:val="0"/>
          <w:color w:val="44403C"/>
          <w:sz w:val="19"/>
        </w:rPr>
        <w:t>2026 房市趨勢：遠雄房地產（劉佩真觀點）、鉅亨網</w:t>
      </w:r>
    </w:p>
    <w:p>
      <w:pPr>
        <w:spacing w:before="200" w:after="80" w:line="336" w:lineRule="auto"/>
      </w:pPr>
      <w:r>
        <w:rPr>
          <w:rFonts w:ascii="Microsoft JhengHei" w:hAnsi="Microsoft JhengHei" w:eastAsia="Microsoft JhengHei"/>
          <w:b w:val="0"/>
          <w:color w:val="8A837C"/>
          <w:sz w:val="17"/>
        </w:rPr>
        <w:t>免責：本白皮書為通用方法論與趨勢研析，非正式財務／法律意見；所有法規數字、稅率、獎勵上限與市場數據均以現行條文、主管機關核定及查證日後最新資料為準，個案適用須由法規與估價專業逐項查證。不含任何真實案件資料。版本 1.0｜2026-06。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