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 w:line="312" w:lineRule="auto"/>
      </w:pP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/>
          <w:color w:val="109871"/>
          <w:sz w:val="20"/>
        </w:rPr>
        <w:t>PROJECT STATUS REPORT · 專案狀態報告</w:t>
      </w:r>
    </w:p>
    <w:p>
      <w:pPr>
        <w:spacing w:after="40"/>
      </w:pPr>
      <w:r>
        <w:rPr>
          <w:rFonts w:ascii="Noto Serif TC" w:hAnsi="Noto Serif TC" w:eastAsia="Noto Serif TC"/>
          <w:b/>
          <w:color w:val="064E3B"/>
          <w:sz w:val="60"/>
        </w:rPr>
        <w:t>Urban-Renewal</w:t>
        <w:br/>
        <w:t>都市更新／危老開發評估數位體系</w:t>
      </w:r>
    </w:p>
    <w:p>
      <w:pPr>
        <w:spacing w:before="80" w:after="440" w:line="312" w:lineRule="auto"/>
      </w:pPr>
      <w:r>
        <w:rPr>
          <w:rFonts w:ascii="Microsoft JhengHei" w:hAnsi="Microsoft JhengHei" w:eastAsia="Microsoft JhengHei"/>
          <w:b/>
          <w:color w:val="44403C"/>
          <w:sz w:val="26"/>
        </w:rPr>
        <w:t>知識庫 · 互動儀表板 · 策略沙盤 · 開發試算 · 對外簡報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597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報告對象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專案負責人／開發部</w:t>
            </w:r>
          </w:p>
        </w:tc>
      </w:tr>
      <w:tr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報告日期</w:t>
            </w:r>
          </w:p>
        </w:tc>
        <w:tc>
          <w:tcPr>
            <w:tcW w:type="dxa" w:w="759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2026-06-22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報告範圍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jeremy0819/Urban-Renewal 公開知識庫 + 互動工具組</w:t>
            </w:r>
          </w:p>
        </w:tc>
      </w:tr>
      <w:tr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基準提交</w:t>
            </w:r>
          </w:p>
        </w:tc>
        <w:tc>
          <w:tcPr>
            <w:tcW w:type="dxa" w:w="759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5653e22（main，第 18 次提交）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查證原則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法規／稅制／市場數據均經 2026-06 網路查證並附來源</w:t>
            </w:r>
          </w:p>
        </w:tc>
      </w:tr>
      <w:tr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資料邊界</w:t>
            </w:r>
          </w:p>
        </w:tc>
        <w:tc>
          <w:tcPr>
            <w:tcW w:type="dxa" w:w="759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全庫去識別化，不含真實案名／金額／人名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01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執行摘要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一句話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本專案已從 3 份方法論文件，成長為一套可上線、零依賴、經事實查證的都更／危老數位決策與訓練體系；核心缺口在遊戲真實感調校與 RE-DCF-Tool 串接。</w:t>
            </w:r>
          </w:p>
        </w:tc>
      </w:tr>
    </w:tbl>
    <w:p>
      <w:pPr>
        <w:spacing w:after="40"/>
      </w:pP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完成度：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高。5 個自含式網頁（2,583 行）＋3 份方法論＋白皮書 Word＋說明會 PPT＋5 份 spec，可離線開、可上 Pages。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品質與資安：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良好。純前端、零外送、無密鑰、無 XSS、外連皆 noopener、.gitignore 鐵律生效、洩漏掃描乾淨。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內容正確性：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經查證。§37／§65／§67／§162、房地合一 2.0／囤房稅 2.0、BERS、2026 房市趨勢均對照官方與媒體來源。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主要缺口：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① 沙盤『人最難整合』張力不足；② 競爭建商為展示性；③ 財務單向、未串 RE-DCF-Tool。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建議下一步：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先做低成本『真實感調校包』，再進 RE-DCF-Tool Phase 0／1 串接，逐步邁向 V4–V7。</w:t>
      </w: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02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專案現況與定位 Situation</w:t>
      </w: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Urban-Renewal 為方法論主庫（知識層），與姊妹庫 RE-DCF-Tool（計算層，Streamlit）分工。將「拿到一塊地→交屋」拆為 S1–S11 全生命週期，以不動產研析為脊椎。</w:t>
      </w: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本期經 18 次提交，由純文件演進為四層交付：① 知識層（流程架構／投報正典／整合總論）② 互動層（儀表板／策略沙盤／開發試算）③ 對外層（說明會簡報）④ 工程層（spec／產生器／資安掃描）。</w:t>
      </w: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03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資產盤點 Asset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7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47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204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2948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index.html 開發儀表板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753 行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上線就緒（雙模式）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導覽、S1–S11、兩層引擎、健檢、定位</w:t>
            </w:r>
          </w:p>
        </w:tc>
      </w:tr>
      <w:tr>
        <w:tc>
          <w:tcPr>
            <w:tcW w:type="dxa" w:w="317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simulator.html 整合策略沙盤 v4</w:t>
            </w:r>
          </w:p>
        </w:tc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610 行</w:t>
            </w:r>
          </w:p>
        </w:tc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🟡 可玩・待真實感調校</w:t>
            </w:r>
          </w:p>
        </w:tc>
        <w:tc>
          <w:tcPr>
            <w:tcW w:type="dxa" w:w="294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訓練：人格／家族／情緒／財務／競爭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evaluator.html 坪效・開發試算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416 行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上線就緒（教學版）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容積帳→坪效→投報→敏感度，§162 驗證</w:t>
            </w:r>
          </w:p>
        </w:tc>
      </w:tr>
      <w:tr>
        <w:tc>
          <w:tcPr>
            <w:tcW w:type="dxa" w:w="317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whitepaper.html 整合開發評估總論</w:t>
            </w:r>
          </w:p>
        </w:tc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324 行</w:t>
            </w:r>
          </w:p>
        </w:tc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完成</w:t>
            </w:r>
          </w:p>
        </w:tc>
        <w:tc>
          <w:tcPr>
            <w:tcW w:type="dxa" w:w="294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法規×估價×趨勢×人文最上位框架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briefing.html ＋ .pptx 說明會簡報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480 行＋17 頁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範本完成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對住戶溝通（制式 8 段）</w:t>
            </w:r>
          </w:p>
        </w:tc>
      </w:tr>
      <w:tr>
        <w:tc>
          <w:tcPr>
            <w:tcW w:type="dxa" w:w="317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整合開發評估總論 .md／.docx</w:t>
            </w:r>
          </w:p>
        </w:tc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—</w:t>
            </w:r>
          </w:p>
        </w:tc>
        <w:tc>
          <w:tcPr>
            <w:tcW w:type="dxa" w:w="204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完成</w:t>
            </w:r>
          </w:p>
        </w:tc>
        <w:tc>
          <w:tcPr>
            <w:tcW w:type="dxa" w:w="294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知識沉澱、開發人員閱讀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方法論正典 ×2、spec ×5、產生器 ×2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完成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S1–S11／投報公式／工程留痕</w:t>
            </w:r>
          </w:p>
        </w:tc>
      </w:tr>
    </w:tbl>
    <w:p>
      <w:pPr>
        <w:spacing w:after="40"/>
      </w:pP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8A837C"/>
          <w:sz w:val="19"/>
        </w:rPr>
        <w:t>技術一致性：全部為單一自含 HTML（inline CSS＋原生 JS、零依賴、零建置），可離線、可上 GitHub Pages（已附 .nojekyll）。</w:t>
      </w: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04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技術與品質評估 Technical &amp; Quality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資安態勢（2026-06-22 掃描）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102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對外資料傳輸（fetch／beacon／analytics）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無（純前端、零外送、零追蹤）</w:t>
            </w:r>
          </w:p>
        </w:tc>
      </w:tr>
      <w:tr>
        <w:tc>
          <w:tcPr>
            <w:tcW w:type="dxa" w:w="45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密鑰／token／secret</w:t>
            </w:r>
          </w:p>
        </w:tc>
        <w:tc>
          <w:tcPr>
            <w:tcW w:type="dxa" w:w="510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無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XSS 面（innerHTML 注入外部輸入）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無（皆內建字串模板）</w:t>
            </w:r>
          </w:p>
        </w:tc>
      </w:tr>
      <w:tr>
        <w:tc>
          <w:tcPr>
            <w:tcW w:type="dxa" w:w="45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外連 target=_blank 之 noopener</w:t>
            </w:r>
          </w:p>
        </w:tc>
        <w:tc>
          <w:tcPr>
            <w:tcW w:type="dxa" w:w="510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21／21 全具備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localStorage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僅遊戲狀態與模式旗標，無 PII</w:t>
            </w:r>
          </w:p>
        </w:tc>
      </w:tr>
      <w:tr>
        <w:tc>
          <w:tcPr>
            <w:tcW w:type="dxa" w:w="45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.gitignore 鐵律</w:t>
            </w:r>
          </w:p>
        </w:tc>
        <w:tc>
          <w:tcPr>
            <w:tcW w:type="dxa" w:w="510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生效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真實案名／金額／人名洩漏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✅ 乾淨（已移除關係企業名稱）</w:t>
            </w:r>
          </w:p>
        </w:tc>
      </w:tr>
      <w:tr>
        <w:tc>
          <w:tcPr>
            <w:tcW w:type="dxa" w:w="45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殘留（低風險）</w:t>
            </w:r>
          </w:p>
        </w:tc>
        <w:tc>
          <w:tcPr>
            <w:tcW w:type="dxa" w:w="510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🟡 Google Fonts 第三方請求；可改自託管字型達零外連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品質驗證（實測，非臆測）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靜態檢查：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5 頁 JS 語法、HTML 標籤平衡、站內連結解析皆通過。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沙盤實測：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作者實際跑完一局並探針：人格差異化有效（說明會→情感+14.3、加碼→投資+16.7、承諾→保守+17.8）；家族溝通帶動全家族；財務隨決策／時間反應。</w:t>
      </w: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05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法規與市場查證 Regulatory &amp; Market Verification</w:t>
      </w: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8A837C"/>
          <w:sz w:val="19"/>
        </w:rPr>
        <w:t>以下為 2026-06 網路查證結果（來源見附錄 A）；本專案內容據此撰寫，非憑記憶。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8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7030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查證結論（現行）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都更同意門檻 §37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自行劃定 3/4、政府劃定 1/2；面積逾 9/10 同意者人數不計</w:t>
            </w:r>
          </w:p>
        </w:tc>
      </w:tr>
      <w:tr>
        <w:tc>
          <w:tcPr>
            <w:tcW w:type="dxa" w:w="260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都更容積獎勵 §65＋辦法</w:t>
            </w:r>
          </w:p>
        </w:tc>
        <w:tc>
          <w:tcPr>
            <w:tcW w:type="dxa" w:w="703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上限約基準容積 1.5 倍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都更稅捐減免 §67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地價稅／房屋稅／土增稅／契稅減免</w:t>
            </w:r>
          </w:p>
        </w:tc>
      </w:tr>
      <w:tr>
        <w:tc>
          <w:tcPr>
            <w:tcW w:type="dxa" w:w="260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危老容積獎勵 §6</w:t>
            </w:r>
          </w:p>
        </w:tc>
        <w:tc>
          <w:tcPr>
            <w:tcW w:type="dxa" w:w="703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上限 法定 1.3 倍 或 原建築 1.15 倍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危老時程獎勵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已於民國 114（2025）年 5 月歸零落日 ← 2026 關鍵變動</w:t>
            </w:r>
          </w:p>
        </w:tc>
      </w:tr>
      <w:tr>
        <w:tc>
          <w:tcPr>
            <w:tcW w:type="dxa" w:w="260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建築技術規則 §162</w:t>
            </w:r>
          </w:p>
        </w:tc>
        <w:tc>
          <w:tcPr>
            <w:tcW w:type="dxa" w:w="703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陽台≤10%／梯廳≤10%／合計≤15%／機電≤15%（逐層）；雨遮不計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房地合一稅 2.0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≤2 年 45%、2–5 年 35%、5–10 年 20%、&gt;10 年 15%；自住 6 年 10%（400 萬免稅額）</w:t>
            </w:r>
          </w:p>
        </w:tc>
      </w:tr>
      <w:tr>
        <w:tc>
          <w:tcPr>
            <w:tcW w:type="dxa" w:w="260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囤房稅 2.0</w:t>
            </w:r>
          </w:p>
        </w:tc>
        <w:tc>
          <w:tcPr>
            <w:tcW w:type="dxa" w:w="703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2024/7 上路、2025/5 首徵；全國歸戶；非自住 2%–4.8%；自住 1%；影響約 36 萬戶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平均地權條例（2023）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限制預售換約、私法人購屋許可制、檢舉獎金、重罰炒作 100 萬–5,000 萬</w:t>
            </w:r>
          </w:p>
        </w:tc>
      </w:tr>
      <w:tr>
        <w:tc>
          <w:tcPr>
            <w:tcW w:type="dxa" w:w="260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建築能效 BERS／淨零</w:t>
            </w:r>
          </w:p>
        </w:tc>
        <w:tc>
          <w:tcPr>
            <w:tcW w:type="dxa" w:w="703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分級 1+~7；2024 版手冊 2025/7/1 實施；綠建築≥4 級；對接 2050 淨零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2026 房市趨勢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價緩跌量盤整；餘屋 8–10 萬戶、完工 32–36 萬戶；營造年漲 2–3%；火力集中都更危老</w:t>
            </w:r>
          </w:p>
        </w:tc>
      </w:tr>
    </w:tbl>
    <w:p>
      <w:pPr>
        <w:spacing w:after="40"/>
      </w:pP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06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關鍵發現 Key Findings</w:t>
      </w: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1C1A17"/>
          <w:sz w:val="20"/>
        </w:rPr>
        <w:t>強項：①內容經查證、標條號；②零依賴可上線；③雙模式服務外行與專業；④沙盤人格／家族／情緒機制已落地可驗證。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缺口（依影響排序，皆實測所得）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發現</w:t>
            </w:r>
          </w:p>
        </w:tc>
        <w:tc>
          <w:tcPr>
            <w:tcW w:type="dxa" w:w="385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283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G1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釘子戶不夠黏、難度偏易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第 3 回合清空反對、第 8 回合達 100% 支持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核心『人最難整合』感受不足</w:t>
            </w:r>
          </w:p>
        </w:tc>
      </w:tr>
      <w:tr>
        <w:tc>
          <w:tcPr>
            <w:tcW w:type="dxa" w:w="56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G2</w:t>
            </w:r>
          </w:p>
        </w:tc>
        <w:tc>
          <w:tcPr>
            <w:tcW w:type="dxa" w:w="238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競爭建商為展示性</w:t>
            </w:r>
          </w:p>
        </w:tc>
        <w:tc>
          <w:tcPr>
            <w:tcW w:type="dxa" w:w="385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擺爛三場皆『時間到』敗，無一由對手達標</w:t>
            </w:r>
          </w:p>
        </w:tc>
        <w:tc>
          <w:tcPr>
            <w:tcW w:type="dxa" w:w="28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競爭機制無實質張力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G3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財務單向、多結局形同虛設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ROI 僅隨時間下滑 32%→23%、無正向槓桿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財務缺可優化變數</w:t>
            </w:r>
          </w:p>
        </w:tc>
      </w:tr>
      <w:tr>
        <w:tc>
          <w:tcPr>
            <w:tcW w:type="dxa" w:w="56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G4</w:t>
            </w:r>
          </w:p>
        </w:tc>
        <w:tc>
          <w:tcPr>
            <w:tcW w:type="dxa" w:w="238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回饋斷層</w:t>
            </w:r>
          </w:p>
        </w:tc>
        <w:tc>
          <w:tcPr>
            <w:tcW w:type="dxa" w:w="385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bandwagon 隱形、達標未催收尾、單卡近萬用</w:t>
            </w:r>
          </w:p>
        </w:tc>
        <w:tc>
          <w:tcPr>
            <w:tcW w:type="dxa" w:w="28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UX 與教學受限</w:t>
            </w:r>
          </w:p>
        </w:tc>
      </w:tr>
    </w:tbl>
    <w:p>
      <w:pPr>
        <w:spacing w:after="40"/>
      </w:pPr>
    </w:p>
    <w:p>
      <w:pPr>
        <w:spacing w:before="26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07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建議與執行展望 Recommendations &amp; Outlook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即刻優先（低成本高回報）— 真實感調校包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釘子戶黏性：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植入高抗性樞紐戶，僅特定高成本動作可撬動；達標後仍保留殘餘 holdout（權變強制）。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競爭建商長牙：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對手速度與『你的怠惰』連動，使『被搶先』成為真實敗局。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回饋補強：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bandwagon 即時提示、達標催收尾、情境逼出不同最優解。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中期 — RE-DCF-Tool 串接（修 G3）</w:t>
      </w:r>
    </w:p>
    <w:p>
      <w:pPr>
        <w:spacing w:before="40" w:after="80" w:line="312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RE-DCF-Tool 經查證為 Streamlit Python（L1–L6：§162 逐層容積查核、坪效、都更六科目投報、敏感度、三組黃金測試），無對外 API。三階段：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969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147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 RE-DCF？</w:t>
            </w:r>
          </w:p>
        </w:tc>
        <w:tc>
          <w:tcPr>
            <w:tcW w:type="dxa" w:w="249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Phase 0 公式同源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沙盤財務＋evaluator 採 RE-DCF 同一套 L2–L6 公式骨架；雙向 cross-link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零改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立即一致；ROI 取得正向槓桿</w:t>
            </w:r>
          </w:p>
        </w:tc>
      </w:tr>
      <w:tr>
        <w:tc>
          <w:tcPr>
            <w:tcW w:type="dxa" w:w="170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Phase 1 參數交換</w:t>
            </w:r>
          </w:p>
        </w:tc>
        <w:tc>
          <w:tcPr>
            <w:tcW w:type="dxa" w:w="3969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定義案件參數 JSON；深連結 st.query_params 或 JSON 匯入匯出</w:t>
            </w:r>
          </w:p>
        </w:tc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小改</w:t>
            </w:r>
          </w:p>
        </w:tc>
        <w:tc>
          <w:tcPr>
            <w:tcW w:type="dxa" w:w="24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一鍵送 RE-DCF 精算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Phase 2 計算 API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RE-DCF 加 FastAPI／/api 回 KPI／IRR JSON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較大（後端＋CORS）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7"/>
              </w:rPr>
              <w:t>啟用案件生成器、自動化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3E6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B4531C"/>
                <w:sz w:val="17"/>
              </w:rPr>
              <w:t>資安鐵則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RE-DCF 真實案夾已 gitignore；任何串接一律『使用者輸入、不落地公庫』。建議追加『真實數字本地模式』（僅存瀏覽器、永不上傳）供內訓安全使用。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長期 — V4→V7 路線圖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V4（進行中）：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財務系統 ✅、競爭建商（待長牙）、法規風險擴充 ✅。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V5：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RE-DCF 串接、案件生成器（使用者輸入生成通用劇本）。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V6：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AI 地主代理人（需 LLM 後端，靜態頁無法承載，須改架構）。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V7：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都市更新數位決策平台（知識庫＋計算工具＋AI 地主整合）。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1C1A17"/>
          <w:sz w:val="25"/>
        </w:rPr>
        <w:t>上線與治理 Outlook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上線：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GitHub Settings → Pages → main /（root）啟用，即得 jeremy0819.github.io/Urban-Renewal/。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建議 KPI：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開發部試用回收、Pages 流量、訓練覆盤產出數。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風險：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①AI 地主需後端；②真實數字一律本地、嚴守不入庫；③Google Fonts 可自託管消除外連。</w:t>
      </w:r>
    </w:p>
    <w:p>
      <w:r>
        <w:br w:type="page"/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064E3B"/>
          <w:sz w:val="32"/>
        </w:rPr>
        <w:t>附錄 A — 查證來源（查證日 2026-06-22）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房地合一稅 2.0：今周刊；財政部北區國稅局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囤房稅 2.0（全國歸戶、2%–4.8%、2025/5 首徵）：財政部房屋稅 2.0；商業周刊；關鍵評論網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建築能效 BERS／淨零：內政部建築研究所（2024 版手冊 114/7/1 實施）；澄毓綠建築；CSRone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都更條例 §37／§65／§67：全國法規資料庫；都市更新建築容積獎勵辦法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危老時程獎勵落日：聯合新聞網；安信建經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建築技術規則 §162：全國法規資料庫；房感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平均地權條例 2023 修正：內政部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2026 房市趨勢：遠雄房地產（劉佩真）；鉅亨網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color w:val="44403C"/>
          <w:sz w:val="18"/>
        </w:rPr>
        <w:t>RE-DCF-Tool 技術內容：GitHub README（jeremy0819/RE-DCF-Tool）</w:t>
      </w:r>
    </w:p>
    <w:p>
      <w:pPr>
        <w:spacing w:before="220" w:after="100"/>
      </w:pPr>
      <w:r>
        <w:rPr>
          <w:rFonts w:ascii="Noto Serif TC" w:hAnsi="Noto Serif TC" w:eastAsia="Noto Serif TC"/>
          <w:b/>
          <w:color w:val="064E3B"/>
          <w:sz w:val="32"/>
        </w:rPr>
        <w:t>附錄 B — Repo 稽核摘要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提交數：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18（最新 5653e22）。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程式碼：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5 個 HTML 共 2,583 行（index 753／simulator 610／evaluator 416／whitepaper 324／briefing 480）。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文件：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方法論 ×3、spec ×5、Word ×1、PPT ×1、產生器 ×2。</w:t>
      </w:r>
    </w:p>
    <w:p>
      <w:pPr>
        <w:pStyle w:val="ListBullet"/>
        <w:spacing w:after="40" w:line="307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洩漏掃描：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✅ 無真實案名／金額／人名／密鑰。</w:t>
      </w:r>
    </w:p>
    <w:p>
      <w:pPr>
        <w:spacing w:before="200" w:after="80" w:line="324" w:lineRule="auto"/>
      </w:pPr>
      <w:r>
        <w:rPr>
          <w:rFonts w:ascii="Microsoft JhengHei" w:hAnsi="Microsoft JhengHei" w:eastAsia="Microsoft JhengHei"/>
          <w:b w:val="0"/>
          <w:color w:val="8A837C"/>
          <w:sz w:val="17"/>
        </w:rPr>
        <w:t>免責：本報告之法規／稅率／市場數據以查證日之公開資料為準，實務適用須以現行條文、主管機關核定與專業查證為據；本專案為通用方法論與教學工具，非正式財務／法律意見。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