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52"/>
          <w:szCs w:val="52"/>
        </w:rPr>
        <w:t xml:space="preserve">都市更新開發總論</w:t>
      </w:r>
    </w:p>
    <w:p>
      <w:pPr>
        <w:spacing w:after="400"/>
        <w:jc w:val="center"/>
      </w:pPr>
      <w:r>
        <w:rPr>
          <w:rFonts w:ascii="Microsoft JhengHei" w:cs="Microsoft JhengHei" w:eastAsia="Microsoft JhengHei" w:hAnsi="Microsoft JhengHei"/>
          <w:color w:val="2E5090"/>
          <w:sz w:val="28"/>
          <w:szCs w:val="28"/>
        </w:rPr>
        <w:t xml:space="preserve">從底層邏輯到決策收斂的五個問題</w:t>
      </w:r>
    </w:p>
    <w:p>
      <w:pPr>
        <w:spacing w:after="400"/>
        <w:jc w:val="center"/>
      </w:pPr>
      <w:r>
        <w:rPr>
          <w:rFonts w:ascii="Microsoft JhengHei" w:cs="Microsoft JhengHei" w:eastAsia="Microsoft JhengHei" w:hAnsi="Microsoft JhengHei"/>
          <w:color w:val="C5A02A"/>
          <w:sz w:val="20"/>
          <w:szCs w:val="20"/>
        </w:rPr>
        <w:t xml:space="preserve">━━━━━━━━━━━━━━━━━━━━━━━━━━━</w:t>
      </w:r>
    </w:p>
    <w:p>
      <w:pPr>
        <w:spacing w:after="100"/>
        <w:jc w:val="center"/>
      </w:pPr>
      <w:r>
        <w:rPr>
          <w:rFonts w:ascii="Microsoft JhengHei" w:cs="Microsoft JhengHei" w:eastAsia="Microsoft JhengHei" w:hAnsi="Microsoft JhengHei"/>
          <w:color w:val="666666"/>
          <w:sz w:val="22"/>
          <w:szCs w:val="22"/>
        </w:rPr>
        <w:t xml:space="preserve">V3 · 2026年8月 · Core 0.4.0</w:t>
      </w:r>
    </w:p>
    <w:p>
      <w:pPr>
        <w:spacing w:after="100"/>
        <w:jc w:val="center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本文件所有案例均為合成資料，零真實案件資訊</w:t>
      </w:r>
    </w:p>
    <w:p>
      <w:pPr>
        <w:spacing w:after="2000"/>
        <w:jc w:val="center"/>
      </w:pPr>
      <w:r>
        <w:rPr>
          <w:rFonts w:ascii="Microsoft JhengHei" w:cs="Microsoft JhengHei" w:eastAsia="Microsoft JhengHei" w:hAnsi="Microsoft JhengHei"/>
          <w:color w:val="666666"/>
          <w:sz w:val="20"/>
          <w:szCs w:val="20"/>
        </w:rPr>
        <w:t xml:space="preserve">法規查證日：2026/08</w:t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C5A02A"/>
          <w:sz w:val="18"/>
          <w:szCs w:val="18"/>
        </w:rPr>
        <w:t xml:space="preserve">BUILDER · Urban Renewal Decision OS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36"/>
          <w:szCs w:val="36"/>
        </w:rPr>
        <w:t xml:space="preserve">都市更新開發總論</w:t>
      </w:r>
    </w:p>
    <w:p>
      <w:pPr>
        <w:pStyle w:val="Heading2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E5090"/>
          <w:sz w:val="28"/>
          <w:szCs w:val="28"/>
        </w:rPr>
        <w:t xml:space="preserve">從底層邏輯到決策收斂的五個問題</w:t>
      </w:r>
    </w:p>
    <w:p>
      <w:pPr>
        <w:pBdr>
          <w:left w:val="single" w:color="C5A02A" w:sz="6" w:space="8"/>
        </w:pBdr>
        <w:spacing w:after="120" w:before="60"/>
        <w:ind w:left="40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V3 · 2026 年 8 月 · Core 0.4.0 · 本文件所有案例均為合成資料，零真實案件資訊 法規查證日：2026/08。都更／危老法規正處於 2025–2027 大修期，涉及具體案件適用，以主管機關核定當下版本為準。  V3 新增：§2.7 方案比較的歸因紀律（差異要說得出誰造成、且加得回去）、 §3.6 時間治理（法定期限帶法源／經驗法則須標示）、§5 第五條紀律「可歸因」。</w:t>
      </w:r>
    </w:p>
    <w:p>
      <w:pPr>
        <w:pStyle w:val="Heading2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E5090"/>
          <w:sz w:val="28"/>
          <w:szCs w:val="28"/>
        </w:rPr>
        <w:t xml:space="preserve">零、底層邏輯：都市更新為什麼存在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在進入任何計算之前，必須先回答一個更根本的問題：都市更新這件事，底層在做什麼？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以下四層邏輯由最底往上堆疊。每一層都是前一層的結果。</w:t>
      </w: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第 0 層：被鎖死的價值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一塊土地可能已經價值數億，但上面壓著一棟殘值趨近零的舊樓和數十個各有否決權的產權人。價值存在，但被產權結構鎖死了——沒有任何單一地主能解鎖它，因為拆一戶不能蓋新樓，要法定多數才動得了。這是反公地悲劇：太多否決權，資源被鎖死。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所以都更的第一性問題不是「怎麼蓋」，是：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怎麼讓一群各有否決權、各有盤算的人，一起同意解鎖？</w:t>
      </w: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第 1 層：解鎖的能量從哪來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光解鎖不夠，得讓解鎖後的餅比現在大，否則沒人願意承擔 6–10 年的不確定。把餅做大的能量來自三個真實來源（不是帳面搬移）：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增值來源</w:t>
            </w:r>
          </w:p>
        </w:tc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本質</w:t>
            </w:r>
          </w:p>
        </w:tc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為什麼重要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容積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法規允許蓋更多坪（最大能量源）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容積是政府用公共資源購買都市再生的工具——都更從一開始就不是純市場行為</w:t>
            </w:r>
          </w:p>
        </w:tc>
      </w:tr>
      <w:tr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屋齡歸零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老屋→新成屋，單價跳升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45 年殘值趨零→新屋市價，這是名目報酬恆正的來源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整合效率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破碎產權→完整基地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規劃自由度提升、建蔽率用足、地下室效率提高</w:t>
            </w:r>
          </w:p>
        </w:tc>
      </w:tr>
    </w:tbl>
    <w:p>
      <w:pPr>
        <w:spacing w:after="80" w:before="0" w:line="276"/>
        <w:jc w:val="left"/>
      </w:pP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第 2 層：做大的餅怎麼切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增值後的總價值，要切給地主、銀行、政府、營造、實施者、稅務。共同負擔（§51）和權利變換（§50）就是這套法定切餅演算法。但切餅是零和的（你多一坪我少一坪），而做餅是正和的（合作解鎖大家受益）。都更把一群人同時放進正和與零和兩個賽局——這就是它的結構性張力。</w:t>
      </w: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第 3 層：時間 × 信任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切餅之所以特別難，不只因為零和，而是因為餅是未來的、不確定的。地主放棄的是今天確定的舊房，換的是 6–10 年後不確定的新房，要乘完工機率、要折現。每個人在等別人先承諾，每個人的「不簽」都是一個有時間價值的選擇權。</w:t>
      </w: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底層邏輯收束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都市更新是用容積（政府資源）解鎖被產權鎖死的土地價值，再讓一群各有否決權的人，在多年不確定性下，接受一個零和的分配。所以它從來不是工程問題，是「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如何在時間與信任的雙重折損下，讓每一方的期望值都為正、都不願掀桌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」的賽局設計問題。</w:t>
      </w: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核心命題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規劃決定財務，財務決定人心。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你把房子蓋成什麼樣（坪型、公設比、樓層），決定了成本與總銷；成本與總銷決定了地主能分回多少；地主能分回多少，決定他要不要簽名。這三件事是一條鏈，不是三個獨立的部門。</w:t>
      </w:r>
    </w:p>
    <w:p>
      <w:pPr>
        <w:pStyle w:val="Heading2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E5090"/>
          <w:sz w:val="28"/>
          <w:szCs w:val="28"/>
        </w:rPr>
        <w:t xml:space="preserve">一、第一個問題：這塊地能蓋多少？</w:t>
      </w: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1.1 從基地到銷售坪的計算鏈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所有財務數字的源頭，是「這塊地能蓋出多少可以賣的坪數」。這條鏈環環相扣，任何一環算錯，後面全部連錯。</w:t>
      </w:r>
    </w:p>
    <w:p>
      <w:pPr>
        <w:shd w:fill="F5F5F5" w:color="auto" w:val="clear"/>
        <w:spacing w:after="120" w:before="60"/>
        <w:ind w:left="30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基地面積（扣退縮）→ 乘容積率 → 加容積獎勵 → 加容積移轉</w:t>
      </w:r>
    </w:p>
    <w:p>
      <w:pPr>
        <w:shd w:fill="F5F5F5" w:color="auto" w:val="clear"/>
        <w:spacing w:after="120" w:before="60"/>
        <w:ind w:left="30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→ 允建容積 → 加免計容積（機電/梯廳/陽台）</w:t>
      </w:r>
    </w:p>
    <w:p>
      <w:pPr>
        <w:shd w:fill="F5F5F5" w:color="auto" w:val="clear"/>
        <w:spacing w:after="120" w:before="60"/>
        <w:ind w:left="30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→ 除以（1−公設比）→ 可銷售坪數</w:t>
      </w:r>
    </w:p>
    <w:p>
      <w:pPr>
        <w:pStyle w:val="Heading4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666666"/>
          <w:sz w:val="21"/>
          <w:szCs w:val="21"/>
        </w:rPr>
        <w:t xml:space="preserve">關鍵細節：實務上最常算錯的地方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環節</w:t>
            </w:r>
          </w:p>
        </w:tc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常見錯誤</w:t>
            </w:r>
          </w:p>
        </w:tc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正確作法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基地面積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直接用謄本面積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須先扣除人行廣場、退縮地，才乘容積率；FA 用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使照基地面積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，非謄本</w:t>
            </w:r>
          </w:p>
        </w:tc>
      </w:tr>
      <w:tr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容積獎勵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各項獎勵無上限相加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各項有法定上限，且總量受管制（都更上限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2 倍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基準、危老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1.3 倍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基準）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容積移轉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當成百分比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是絕對面積，加在允建容積上，不是乘上去</w:t>
            </w:r>
          </w:p>
        </w:tc>
      </w:tr>
      <w:tr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§162 免計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忽略逐層檢核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機電、梯廳、陽台各有免計上限，須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逐層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核算（總量法放大近 10 倍）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營造樓地板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只算允建坪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須含地下室，只算允建坪會低估約一半成本</w:t>
            </w:r>
          </w:p>
        </w:tc>
      </w:tr>
    </w:tbl>
    <w:p>
      <w:pPr>
        <w:spacing w:after="80" w:before="0" w:line="276"/>
        <w:jc w:val="left"/>
      </w:pPr>
    </w:p>
    <w:p>
      <w:pPr>
        <w:pStyle w:val="Heading4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666666"/>
          <w:sz w:val="21"/>
          <w:szCs w:val="21"/>
        </w:rPr>
        <w:t xml:space="preserve">銷坪比（坪效）的健康帶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銷售坪 ÷ 允建坪，正常落在 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1.58–1.68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。低於 1.58 可能量體規劃過於保守或免計項沒用足；高於 1.68 可能高估了可銷售面積，送審時容易被打回。公設比 34% 時穩定約 1.62–1.63。</w:t>
      </w: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1.2 獎勵組合最佳化——用最低現金成本湊到上限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同樣是衝高量體，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不同獎勵來源的現金成本天差地別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——這是量體規劃中容易被忽略的維度：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獎勵類型</w:t>
            </w:r>
          </w:p>
        </w:tc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現金成本</w:t>
            </w:r>
          </w:p>
        </w:tc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特性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買道路用地做容積移轉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高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（真金白銀買地捐市府）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量大但貴，通常是湊上限的最後手段</w:t>
            </w:r>
          </w:p>
        </w:tc>
      </w:tr>
      <w:tr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海砂屋／結構鑑定專案獎勵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近零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（鑑定費而已）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若既有建物符合條件，可替代部分容移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綠建築／智慧建築／耐震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中等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（設計階段投入）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可對接 BERS 能效標示與 ESG 資金</w:t>
            </w:r>
          </w:p>
        </w:tc>
      </w:tr>
      <w:tr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時程獎勵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零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危老已歸零（114/5 落日）；都更視送件時點</w:t>
            </w:r>
          </w:p>
        </w:tc>
      </w:tr>
    </w:tbl>
    <w:p>
      <w:pPr>
        <w:spacing w:after="80" w:before="0" w:line="276"/>
        <w:jc w:val="left"/>
      </w:pPr>
    </w:p>
    <w:p>
      <w:pPr>
        <w:pBdr>
          <w:left w:val="single" w:color="C5A02A" w:sz="6" w:space="8"/>
        </w:pBdr>
        <w:spacing w:after="120" w:before="60"/>
        <w:ind w:left="40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量體規劃不是「湊到上限就好」，是用最低現金成本湊到上限。各項目須逐案由專業鑑定與審議認定，勿當通則。</w:t>
      </w: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1.3 雙層槓桿——對地主溝通的標準框架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地主關心的不是「容積率」，是「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我這塊地最後變幾坪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」。以下心智模型把抽象法規翻成一個乘法故事：</w:t>
      </w:r>
    </w:p>
    <w:p>
      <w:pPr>
        <w:shd w:fill="F5F5F5" w:color="auto" w:val="clear"/>
        <w:spacing w:after="120" w:before="60"/>
        <w:ind w:left="30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原始土地 1 坪</w:t>
      </w:r>
    </w:p>
    <w:p>
      <w:pPr>
        <w:shd w:fill="F5F5F5" w:color="auto" w:val="clear"/>
        <w:spacing w:after="120" w:before="60"/>
        <w:ind w:left="30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↓  ① 容積獎勵槓桿（示意：50% 都更獎勵 → 地坪 2.4 變基準建坪 3.6）</w:t>
      </w:r>
    </w:p>
    <w:p>
      <w:pPr>
        <w:shd w:fill="F5F5F5" w:color="auto" w:val="clear"/>
        <w:spacing w:after="120" w:before="60"/>
        <w:ind w:left="30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基準建築面積</w:t>
      </w:r>
    </w:p>
    <w:p>
      <w:pPr>
        <w:shd w:fill="F5F5F5" w:color="auto" w:val="clear"/>
        <w:spacing w:after="120" w:before="60"/>
        <w:ind w:left="30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↓  ② 產權倍數槓桿（×1.6–1.63，含公設與附屬建物）</w:t>
      </w:r>
    </w:p>
    <w:p>
      <w:pPr>
        <w:shd w:fill="F5F5F5" w:color="auto" w:val="clear"/>
        <w:spacing w:after="120" w:before="60"/>
        <w:ind w:left="30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總產權面積（示意：每 1 坪土地 → 約 5.8–7.5 坪總產權）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但務必同時揭示②的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公設比代價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——超高層拉高時（如 15→20 層），觸發不同級別的消防與結構規格（雙安全梯、緊急升降機等），公設比上升（示意至約 34%），室內實坪變緊。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量體極大化是有邊際成本的最佳化，不是越高越好。</w:t>
      </w: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1.4 都市計畫上位：先讀計畫，再談容積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容積率不是憑空的數字，它從上位計畫一路長下來。在容積試算之前，先做「都市計畫體檢表」：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上位計畫 → 分區管制 → 容積率／建蔽率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：先確認主要／細部計畫、退縮、開放空間、高度管制。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都市設計審議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：一定規模須過都審，影響量體、外觀與時程。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TOD／都市再生／策略地區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：常帶額外容積，是爭取量體的槓桿。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容積移轉（TDR）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：受移入比例與區位上限管制，須與獎勵一併納入「容積帳」。</w:t>
      </w:r>
    </w:p>
    <w:p>
      <w:pPr>
        <w:pStyle w:val="Heading2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E5090"/>
          <w:sz w:val="28"/>
          <w:szCs w:val="28"/>
        </w:rPr>
        <w:t xml:space="preserve">二、第二個問題：錢怎麼分？</w:t>
      </w: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2.1 兩種角色結構，兩種財務邏輯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在進入共同負擔計算之前，必須先釐清一個常被混淆的前提：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誰是建商？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構面</w:t>
            </w:r>
          </w:p>
        </w:tc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合建模式</w:t>
            </w:r>
          </w:p>
        </w:tc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全案管理模式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誰是建商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建商（實施者）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地主自組更新會（自任起造人）</w:t>
            </w:r>
          </w:p>
        </w:tc>
      </w:tr>
      <w:tr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實施者角色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開發商，分回房地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代理人，僅收管理費、零分回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土地成本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建商取得，計入共負 G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地主自有，不計土地成本</w:t>
            </w:r>
          </w:p>
        </w:tc>
      </w:tr>
      <w:tr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實施者報酬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銷售利潤（可能數億）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固定管理費（約總銷 5–10%）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地主風險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分配比例談定後相對明確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100% 自負盈虧、扛連帶保證</w:t>
            </w:r>
          </w:p>
        </w:tc>
      </w:tr>
      <w:tr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破局命門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分配比例（零和談判）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代理人道德風險（風險與報酬錯配）</w:t>
            </w:r>
          </w:p>
        </w:tc>
      </w:tr>
    </w:tbl>
    <w:p>
      <w:pPr>
        <w:spacing w:after="80" w:before="0" w:line="276"/>
        <w:jc w:val="left"/>
      </w:pPr>
    </w:p>
    <w:p>
      <w:pPr>
        <w:pStyle w:val="Heading4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666666"/>
          <w:sz w:val="21"/>
          <w:szCs w:val="21"/>
        </w:rPr>
        <w:t xml:space="preserve">全案管理的結構張力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全案管理聽起來對地主有利（報酬率可達 80%+），但風險與報酬錯配：實施者賺固定管理費、不扛最終盈虧，卻可能開工前先收高比例款項——這是「拿住戶的錢辦住戶的事」的代理人道德風險。破局解方不是加碼補償，是以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制度信用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（續建保證、公股建經、連帶保證）替換公司信用。</w:t>
      </w:r>
    </w:p>
    <w:p>
      <w:pPr>
        <w:pStyle w:val="Heading4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666666"/>
          <w:sz w:val="21"/>
          <w:szCs w:val="21"/>
        </w:rPr>
        <w:t xml:space="preserve">全案管理的經濟學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PCM 顧問與地主是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僱傭關係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（經理人），非對賭——所有權、決策權、利潤全歸地主。費率邏輯的關鍵對照：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費率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：總銷某百分比（示意 6–7%），服務期可達 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8 年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錨點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：代銷僅 6–9 個月銷售即收 5–6% 佣金。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費率÷服務月數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，PCM 的月均成本遠低於代銷。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前期墊款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：顧問代墊估價／設計前期費用（示意數千萬），讓地主在銀行撥款前「零出資」——墊款＝顧問把利益與案子綁定的信號（skin in the game）。</w:t>
      </w: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2.2 共同負擔：切餅的法定演算法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共同負擔是「這個案子要花的所有錢」，由更新後的房地價值折價抵付。付完之後剩下的，才是地主可以分回的部分。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共負比越高，地主分回越少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——這是地主最在意的一個數字，也是談判的引信。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科目</w:t>
            </w:r>
          </w:p>
        </w:tc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內容</w:t>
            </w:r>
          </w:p>
        </w:tc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實務重點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A 工程費用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營造成本＋設計規劃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占比最大（常達 55–60%）；營造基準須含地下室</w:t>
            </w:r>
          </w:p>
        </w:tc>
      </w:tr>
      <w:tr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B 管維費用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容積獎勵管理維護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依 A 連動；綠建築等標章有額外管維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C 權變費用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權變作業＋拆遷補償＋租金補償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拆補與租金基準是權變戶數，非總銷售戶數</w:t>
            </w:r>
          </w:p>
        </w:tc>
      </w:tr>
      <w:tr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D 貸款利息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土融＋建融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全案管理模式土地成本為 0，故無土融；利息占比看融資成數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E 稅捐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營業稅＋印花稅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依總銷計算</w:t>
            </w:r>
          </w:p>
        </w:tc>
      </w:tr>
      <w:tr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F 管理費用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全案管理費＋代銷＋信託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全案管理費僅全案管理模式適用；代銷約 5%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G 土地成本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取得土地的價金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僅合建／買賣模式計入</w:t>
            </w:r>
          </w:p>
        </w:tc>
      </w:tr>
    </w:tbl>
    <w:p>
      <w:pPr>
        <w:spacing w:after="80" w:before="0" w:line="276"/>
        <w:jc w:val="left"/>
      </w:pP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2.3 融資閘門：共負比 &lt; 70%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地主「零出資」重建不是天上掉下來的，而是有一道可量化的財務閘門：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判準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：共同負擔比（「成份比」）需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低於約 70%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，銀行才願全額土建融。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機制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：成份比越低＝現金流安全邊際越大＝銀行越敢 100% 融資＝地主越不必自掏工程款。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同一個數字，兩個世界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：&gt;70% 與 &lt;70% 對地主是「要不要掏錢」的分水嶺。</w:t>
      </w:r>
    </w:p>
    <w:p>
      <w:pPr>
        <w:pBdr>
          <w:left w:val="single" w:color="C5A02A" w:sz="6" w:space="8"/>
        </w:pBdr>
        <w:spacing w:after="120" w:before="60"/>
        <w:ind w:left="40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共同負擔比不只是分回計算的中間值——它是融資可行性的開關，翻譯成地主語言就是「你要不要掏錢」。</w:t>
      </w: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2.4 雙軌口徑：私約軌 vs 公法軌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同一個案子存在兩套並存且皆為真實的數字，服務不同對象、依據不同基準。理解兩者不是同一個量的兩個值，而是兩個不同對象各自的關鍵指標，是財務分析的核心。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構面</w:t>
            </w:r>
          </w:p>
        </w:tc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私約軌</w:t>
            </w:r>
          </w:p>
        </w:tc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公法軌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別名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合建契約／更新會開發報酬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權變估價／法定共同負擔</w:t>
            </w:r>
          </w:p>
        </w:tc>
      </w:tr>
      <w:tr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服務對象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地主（更新會）自身開發決策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都更審議、程序正義、公開展覽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核心指標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全案報酬率（利潤÷成本）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共同負擔比（共負÷更新後總值）</w:t>
            </w:r>
          </w:p>
        </w:tc>
      </w:tr>
      <w:tr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計算基準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實際發包造價＋全案銷售收入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主管機關共同負擔提列基準（§51）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回答的問題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地主自建自售能賺多少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地主須折價抵付實施者多少</w:t>
            </w:r>
          </w:p>
        </w:tc>
      </w:tr>
    </w:tbl>
    <w:p>
      <w:pPr>
        <w:spacing w:after="80" w:before="0" w:line="276"/>
        <w:jc w:val="left"/>
      </w:pP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私約軌用實際造價計成本；公法軌用法定提列基準計成本。兩者口徑不同，報酬率與負擔比是不同維度的指標——把它們直接比較是常見的誤讀。實務上須同時掌握兩軌數字，才能完整理解一個案子的財務全貌。</w:t>
      </w:r>
    </w:p>
    <w:p>
      <w:pPr>
        <w:pStyle w:val="Heading4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666666"/>
          <w:sz w:val="21"/>
          <w:szCs w:val="21"/>
        </w:rPr>
        <w:t xml:space="preserve">三種報酬率並存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全案報酬率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（利潤÷總成本，地主自建視角）、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全案權變報酬率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（僅計權變戶）、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自有資金報酬率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（利潤÷自籌款，槓桿放大後）。同一案在不同付款時程設計下，自有資金報酬率可由 +85% 翻轉為 −6%——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開發報酬對付款結構的敏感度極高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。</w:t>
      </w: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2.5 稅制地形：切餅之後誰再被切一刀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稅制不只是「付多少稅」，更是影響地主實質分回與出售策略的隱藏參數：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稅目</w:t>
            </w:r>
          </w:p>
        </w:tc>
        <w:tc>
          <w:tcPr>
            <w:tcW w:type="dxa" w:w="45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對開發評估的影響</w:t>
            </w:r>
          </w:p>
        </w:tc>
      </w:tr>
      <w:tr>
        <w:tc>
          <w:tcPr>
            <w:tcW w:type="dxa" w:w="45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房地合一稅 2.0</w:t>
            </w:r>
          </w:p>
        </w:tc>
        <w:tc>
          <w:tcPr>
            <w:tcW w:type="dxa" w:w="45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持有 ≤2 年 45%、2–5 年 35%、5–10 年 20%、&gt;10 年 15%；自住 6 年以上 10%。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法人比照個人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、預售屋納入 → 抑短期、利長期</w:t>
            </w:r>
          </w:p>
        </w:tc>
      </w:tr>
      <w:tr>
        <w:tc>
          <w:tcPr>
            <w:tcW w:type="dxa" w:w="45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囤房稅 2.0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（2025/5 首徵）</w:t>
            </w:r>
          </w:p>
        </w:tc>
        <w:tc>
          <w:tcPr>
            <w:tcW w:type="dxa" w:w="45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全國歸戶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；非自住 2%–4.8% → 持有老屋成本上升，更新誘因相對提高</w:t>
            </w:r>
          </w:p>
        </w:tc>
      </w:tr>
      <w:tr>
        <w:tc>
          <w:tcPr>
            <w:tcW w:type="dxa" w:w="45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都更稅捐減免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（§67）</w:t>
            </w:r>
          </w:p>
        </w:tc>
        <w:tc>
          <w:tcPr>
            <w:tcW w:type="dxa" w:w="45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地價稅免／減半、房屋稅減半 2 年（可延長至 10 年）、土增稅／契稅第一次移轉減 40%</w:t>
            </w:r>
          </w:p>
        </w:tc>
      </w:tr>
    </w:tbl>
    <w:p>
      <w:pPr>
        <w:spacing w:after="80" w:before="0" w:line="276"/>
        <w:jc w:val="left"/>
      </w:pPr>
    </w:p>
    <w:p>
      <w:pPr>
        <w:pStyle w:val="Heading4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666666"/>
          <w:sz w:val="21"/>
          <w:szCs w:val="21"/>
        </w:rPr>
        <w:t xml:space="preserve">新舊制分裂——土地與建物分屬不同稅制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都更分回後的房地合一稅，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土地與建物適用不同認定規則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土地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：長期持有／繼承者持有時點延續（多落舊制，享免所得稅優勢）。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建物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：全新取得，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適用房地合一新制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取得日認定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：個人與營利事業規則不同；營利事業以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事業計畫核定之日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認定。</w:t>
      </w:r>
    </w:p>
    <w:p>
      <w:pPr>
        <w:pBdr>
          <w:left w:val="single" w:color="C5A02A" w:sz="6" w:space="8"/>
        </w:pBdr>
        <w:spacing w:after="120" w:before="60"/>
        <w:ind w:left="40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「土地仍屬舊制」是簡化版。正解是「視身分與取得情形，土地與建物拆開認定」——出售時點與分價拆算的關鍵，須請稅務專業逐案核。</w:t>
      </w:r>
    </w:p>
    <w:p>
      <w:pPr>
        <w:pStyle w:val="Heading4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666666"/>
          <w:sz w:val="21"/>
          <w:szCs w:val="21"/>
        </w:rPr>
        <w:t xml:space="preserve">12 年減半的所有權人陷阱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房屋稅最長 12 年減半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僅限原所有權人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。重建期間或完成後若發生繼承／買賣致所有權人變動，優惠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提前終結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——家族傳承規劃須把此節點納入。</w:t>
      </w: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2.6 交屋流動性——零出資的真正終點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「零出資重建」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前期為真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（顧問代墊＋銀行融資），但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交屋時點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會冒出一筆選擇：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出售比例 ≈ 共負比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：若共負約 58%，地主理論上需在交屋時出售約 58% 分回房產抵付工程款，剩餘才能無貸交屋。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去化不如預期的 backstop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：不足清償部分可申請房貸或以自有資金補足，非等比例立即被扣。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銀行核貸看「財力與資歷」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：名下股債、收租資產，或請有收入子女共同借款。</w:t>
      </w:r>
    </w:p>
    <w:p>
      <w:pPr>
        <w:pBdr>
          <w:left w:val="single" w:color="C5A02A" w:sz="6" w:space="8"/>
        </w:pBdr>
        <w:spacing w:after="120" w:before="60"/>
        <w:ind w:left="40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把交屋流動性關卡做進財務分析，比「同意率達標就贏」真實得多。</w:t>
      </w: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2.7 方案比較的歸因紀律——差異要說得出誰造成，而且要加得回去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實務上最常見的動作不是「算一個方案」，是「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比兩個方案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」：拉高單價、少做幾個車位、營造成本上調，然後問一句「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所以報酬率為什麼從 51.5% 變成 56.9%？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」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這個問題看似簡單，卻藏著三個會毀掉信任的陷阱。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陷阱一：diff 不是歸因。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 兩份數字相減只能說「什麼變了」，說不出「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誰造成的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」。多個欄位同時變動時，各自的貢獻必須用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反事實重算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求出——把其他條件固定在變更前，只讓這一項動，看指標移動多少。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陷阱二：加不回去的原因清單，等於沒有原因。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 欄位之間有交互作用（單價上調會放大車位減少的衝擊），各自的邊際效果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不會自動等於總變化量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。若使用者看到「報酬率掉 2.0 個百分點，但列出的原因只加到 1.4」，信任瞬間歸零——而歸因這件事存在的目的正是建立信任。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正解是讓加總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恆等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成立，並把交互作用明確列為一項「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殘差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」，而不是偷偷藏起來：</w:t>
      </w:r>
    </w:p>
    <w:p>
      <w:pPr>
        <w:shd w:fill="F5F5F5" w:color="auto" w:val="clear"/>
        <w:spacing w:after="120" w:before="60"/>
        <w:ind w:left="30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Σ 各項貢獻 ＋ 殘差 ＝ 實際變化量        （恆等，不是近似）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方法</w:t>
            </w:r>
          </w:p>
        </w:tc>
        <w:tc>
          <w:tcPr>
            <w:tcW w:type="dxa" w:w="225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加總是否恰好等於變化量</w:t>
            </w:r>
          </w:p>
        </w:tc>
        <w:tc>
          <w:tcPr>
            <w:tcW w:type="dxa" w:w="225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代價</w:t>
            </w:r>
          </w:p>
        </w:tc>
        <w:tc>
          <w:tcPr>
            <w:tcW w:type="dxa" w:w="225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用在哪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一次只改一項（OAT）</w:t>
            </w:r>
          </w:p>
        </w:tc>
        <w:tc>
          <w:tcPr>
            <w:tcW w:type="dxa" w:w="225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❌ 需靠殘差補回</w:t>
            </w:r>
          </w:p>
        </w:tc>
        <w:tc>
          <w:tcPr>
            <w:tcW w:type="dxa" w:w="225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n 次重算</w:t>
            </w:r>
          </w:p>
        </w:tc>
        <w:tc>
          <w:tcPr>
            <w:tcW w:type="dxa" w:w="225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變動項目很多時的退路</w:t>
            </w:r>
          </w:p>
        </w:tc>
      </w:tr>
      <w:tr>
        <w:tc>
          <w:tcPr>
            <w:tcW w:type="dxa" w:w="225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Shapley 值</w:t>
            </w:r>
          </w:p>
        </w:tc>
        <w:tc>
          <w:tcPr>
            <w:tcW w:type="dxa" w:w="225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✅ 完全相等，且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與順序無關</w:t>
            </w:r>
          </w:p>
        </w:tc>
        <w:tc>
          <w:tcPr>
            <w:tcW w:type="dxa" w:w="225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2ⁿ 次重算</w:t>
            </w:r>
          </w:p>
        </w:tc>
        <w:tc>
          <w:tcPr>
            <w:tcW w:type="dxa" w:w="225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變動項目 ≤10 的預設做法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依序累加</w:t>
            </w:r>
          </w:p>
        </w:tc>
        <w:tc>
          <w:tcPr>
            <w:tcW w:type="dxa" w:w="225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✅ 但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換個順序答案就不同</w:t>
            </w:r>
          </w:p>
        </w:tc>
        <w:tc>
          <w:tcPr>
            <w:tcW w:type="dxa" w:w="225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n 次</w:t>
            </w:r>
          </w:p>
        </w:tc>
        <w:tc>
          <w:tcPr>
            <w:tcW w:type="dxa" w:w="225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❌ 不採用（結論取決於排列＝不是事實）</w:t>
            </w:r>
          </w:p>
        </w:tc>
      </w:tr>
    </w:tbl>
    <w:p>
      <w:pPr>
        <w:spacing w:after="80" w:before="0" w:line="276"/>
        <w:jc w:val="left"/>
      </w:pPr>
    </w:p>
    <w:p>
      <w:pPr>
        <w:pBdr>
          <w:left w:val="single" w:color="C5A02A" w:sz="6" w:space="8"/>
        </w:pBdr>
        <w:spacing w:after="120" w:before="60"/>
        <w:ind w:left="40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「換個順序答案就不同」是判斷一套歸因可不可信的照妖鏡。貢獻度必須是輸入集合的性質，不是輸入順序的性質。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陷阱三：單位講錯，整段話就錯。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 報酬率從 51.5% 到 56.9%，是「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上升 5.44 個百分點（ppt）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」，不是「上升 5.44%」（那會被讀成相對變動 ≈10.6%），更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不是 IRR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——全案報酬率是「利潤÷成本」的靜態比率，沒有時間維度；IRR 是使現金流淨現值歸零的折現率。兩者不同物，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不可互換稱呼、不可互相換算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。談差異一律用 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ppt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。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明確拒答比虛假歸因更誠實。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 若兩個方案的差異不只是參數，而是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結構不同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——樓層表改了、產權清冊增減、案件類型從危老換成都更——那麼「單一欄位的邊際貢獻」根本沒有一致定義。此時正確的動作是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拒絕作答並說明原因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，而不是把算不出來的差額塞進一項叫「其他」的東西裡。使用者看到「其他：−1.8 ppt」會以為系統知道原因，那比不回答更傷。</w:t>
      </w:r>
    </w:p>
    <w:p>
      <w:pPr>
        <w:pStyle w:val="Heading2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E5090"/>
          <w:sz w:val="28"/>
          <w:szCs w:val="28"/>
        </w:rPr>
        <w:t xml:space="preserve">三、第三個問題：這案子真的做得成嗎？</w:t>
      </w: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3.1 名目報酬幾乎恆正，但那不是真相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拿任何一個都更案來試算，紙上的報酬幾乎都是正的——否則沒人會提案。但紙上報酬的前提是「這案子會走到完工」。從整合階段起算，一路走到完工的累積機率大約只有三成。</w:t>
      </w:r>
    </w:p>
    <w:p>
      <w:pPr>
        <w:shd w:fill="F5F5F5" w:color="auto" w:val="clear"/>
        <w:spacing w:after="120" w:before="60"/>
        <w:ind w:left="30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期望值 ＝ 名目報酬 × 完工機率 p × 時間折現 df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一個紙上報酬 30% 的案子，乘了完工機率、再折了 6–10 年的現，期望值可能趨近於零甚至為負。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名目報酬恆正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（這是都更能啟動的原因），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但期望值一乘 p、一折現就大幅縮水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——這個落差就是破局的數學根源。</w:t>
      </w: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3.2 三方期望值不對稱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期望值特徵</w:t>
            </w:r>
          </w:p>
        </w:tc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破局傾向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地主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蛋黃區現況本來就好，參與的 EV 可能 ≈0 或負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傾向拖延、觀望、holdout</w:t>
            </w:r>
          </w:p>
        </w:tc>
      </w:tr>
      <w:tr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實施者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前期收費、低資本投入，EV 常為正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願意推，但可能低估整合難度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代理實施者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僅收固定管理費，EV 穩定但不承擔盈虧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動機錯配：案子拖越久，管理費可能越多</w:t>
            </w:r>
          </w:p>
        </w:tc>
      </w:tr>
    </w:tbl>
    <w:p>
      <w:pPr>
        <w:spacing w:after="80" w:before="0" w:line="276"/>
        <w:jc w:val="left"/>
      </w:pP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判讀邏輯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GO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：三方 EV 皆為正，且投資方超過門檻報酬。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CAUTION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：投資方為正，但有任一方 EV≤0（整合不對稱風險）。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STOP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：投資方 ≤0，或地主顯著為負。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重點不是「我方賺不賺」，而是「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有沒有哪一方 EV 為負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」——那一方就是破局的引爆點（breakpoint stakeholder）。</w:t>
      </w: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3.3 完工機率的階段化結構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完工機率不是一個單一數字，而是各階段存活率的連乘。每個階段有不同的過濾器：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階段</w:t>
            </w:r>
          </w:p>
        </w:tc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主要過濾器</w:t>
            </w:r>
          </w:p>
        </w:tc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存活率性質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S1 整合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同意率門檻（最大過濾器）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未過此關的案子占多數</w:t>
            </w:r>
          </w:p>
        </w:tc>
      </w:tr>
      <w:tr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S3–S5 報核／審議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審議委員會、公展陳情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台北市審議平均 2.34 年，老公寓案達 3.74 年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S7–S8 權變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估價爭議、不同意戶訴訟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核定後段存活率較高（約 0.77 示意）</w:t>
            </w:r>
          </w:p>
        </w:tc>
      </w:tr>
      <w:tr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S9–S11 融資／施工／交屋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資金斷鏈、營造風險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15 層案施工約 3.5 年</w:t>
            </w:r>
          </w:p>
        </w:tc>
      </w:tr>
    </w:tbl>
    <w:p>
      <w:pPr>
        <w:spacing w:after="80" w:before="0" w:line="276"/>
        <w:jc w:val="left"/>
      </w:pPr>
    </w:p>
    <w:p>
      <w:pPr>
        <w:shd w:fill="F5F5F5" w:color="auto" w:val="clear"/>
        <w:spacing w:after="120" w:before="60"/>
        <w:ind w:left="30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p_total ＝ ∏ 各階段存活率</w:t>
      </w:r>
    </w:p>
    <w:p>
      <w:pPr>
        <w:pBdr>
          <w:left w:val="single" w:color="C5A02A" w:sz="6" w:space="8"/>
        </w:pBdr>
        <w:spacing w:after="120" w:before="60"/>
        <w:ind w:left="40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目前各階段存活率為示意預設值，已使用一件在途審議案作為 n=1 錨點進行條件存活率校準，但尚未以大樣本驗證。判讀層級為「方向性判斷」，非完工保證。</w:t>
      </w: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3.4 審議的實務洞察——最常被低估的時程風險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審議階段（S3–S5）是整個流程中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最不可控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的段落。以下是整合人應掌握的審議實務：</w:t>
      </w:r>
    </w:p>
    <w:p>
      <w:pPr>
        <w:pStyle w:val="Heading4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666666"/>
          <w:sz w:val="21"/>
          <w:szCs w:val="21"/>
        </w:rPr>
        <w:t xml:space="preserve">審議的結構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事業計畫審議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：由都市更新審議會（或稱審議委員會）審查。委員會組成包含都市計畫、建築、法律、估價、社會等專業委員。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權利變換審議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：更新前後價值的合理性、共同負擔的合規性、分配的公平性。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公開展覽（公展）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：核定前的公展期間，利害關係人可提出意見或陳情。公展意見的處理須回覆且留案。</w:t>
      </w:r>
    </w:p>
    <w:p>
      <w:pPr>
        <w:pStyle w:val="Heading4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666666"/>
          <w:sz w:val="21"/>
          <w:szCs w:val="21"/>
        </w:rPr>
        <w:t xml:space="preserve">審議的時程現實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台北市平均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：事業計畫審議平均 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2.34 年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，40 年以上老公寓案可達 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3.74 年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審查意見回覆 → 修正 → 再審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：一個案子可能經歷多次修正，每次循環吃掉數月。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陳情與訴訟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：不同意戶在公展期間的陳情（合法程序權利），甚至訴願、行政訴訟，可拖延數年。</w:t>
      </w:r>
    </w:p>
    <w:p>
      <w:pPr>
        <w:pStyle w:val="Heading4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666666"/>
          <w:sz w:val="21"/>
          <w:szCs w:val="21"/>
        </w:rPr>
        <w:t xml:space="preserve">審議修正的連鎖反應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審議委員的修正意見常觸發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容積或共負的變動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，而這必須回寫全案：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容積修正 → 回到計算鏈重算允建、銷坪 → 共負比變動 → 分回比變動 → 已簽約地主的預期被打破。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這就是為什麼「改一動全」是鐵律——任何上游修正都沿計算鏈傳遞到末端。</w:t>
      </w:r>
    </w:p>
    <w:p>
      <w:pPr>
        <w:pStyle w:val="Heading4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666666"/>
          <w:sz w:val="21"/>
          <w:szCs w:val="21"/>
        </w:rPr>
        <w:t xml:space="preserve">審議策略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預先諮詢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：非正式地了解審議委員的關注方向，降低正式審查的來回次數。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完整回覆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：每一條審查意見的回覆都要有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事實基礎、法源依據、修正說明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，模糊回覆只會延長審議。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公展準備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：預判陳情方向，備妥回覆方案——特別是估價爭議和同意率質疑。</w:t>
      </w: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3.5 地主的 status quo 基準——不參與的機會成本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地主的 EV 計算中有一個容易被忽略的基準：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不做更新、繼續持有舊房的自然增值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。</w:t>
      </w:r>
    </w:p>
    <w:p>
      <w:pPr>
        <w:shd w:fill="F5F5F5" w:color="auto" w:val="clear"/>
        <w:spacing w:after="120" w:before="60"/>
        <w:ind w:left="30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地主 EV = p × df × [更新後分回值] − 現值(抱舊房自然增值)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蛋黃區的舊房即使不更新，土地價值仍隨時間增值——地主的 status quo 並非「零」。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這解釋了為什麼蛋黃區地主即使面對高報酬方案，仍傾向觀望：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他的替代方案不是零，是穩穩地自然增值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蛋白區則相反：舊房增值緩慢甚至貶值，參與更新的 EV 相對更有吸引力。</w:t>
      </w: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3.6 時間治理——法定期限與經驗法則必須分開標示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一個 6–10 年的案子，真正殺死它的往往不是「算錯」，是「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錯過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」。公展期、陳情回覆期、聽證通知期、計畫核定後的申請期限——這些期限有法定效果，逾期的代價不是延後，是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程序重來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。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但把「期限」做成清單時，有一條紀律不能鬆：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每一條期限都要標明它的出處，而且出處的種類要看得見。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出處種類</w:t>
            </w:r>
          </w:p>
        </w:tc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意義</w:t>
            </w:r>
          </w:p>
        </w:tc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紀律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法定（statute）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條例／施行細則明文規定的期間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必須附上法條出處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，且註明查證日；法規大修期間尤其要複核</w:t>
            </w:r>
          </w:p>
        </w:tc>
      </w:tr>
      <w:tr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計畫（plan）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本案自訂的里程碑與內部期程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可調整，但調整要留下紀錄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經驗（heuristic）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從實務歸納的風險窗，例如「重大節點前後 72 小時風險最高」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必須明示是經驗法則、允許被案例推翻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，不得偽裝成規定</w:t>
            </w:r>
          </w:p>
        </w:tc>
      </w:tr>
    </w:tbl>
    <w:p>
      <w:pPr>
        <w:spacing w:after="80" w:before="0" w:line="276"/>
        <w:jc w:val="left"/>
      </w:pPr>
    </w:p>
    <w:p>
      <w:pPr>
        <w:pBdr>
          <w:left w:val="single" w:color="C5A02A" w:sz="6" w:space="8"/>
        </w:pBdr>
        <w:spacing w:after="120" w:before="60"/>
        <w:ind w:left="40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把經驗法則寫得像法條，是最容易發生也最難察覺的失信。「72 小時風險窗」是有用的直覺，但它不是法律——標示清楚，它才是資產；混為一談，它就是負債。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這條紀律和 §2.7 是同一件事的兩面：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規則要能追溯到出處，數字要能追溯到原因。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 兩者都在回答同一個問題——「憑什麼相信你？」</w:t>
      </w:r>
    </w:p>
    <w:p>
      <w:pPr>
        <w:pStyle w:val="Heading2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E5090"/>
          <w:sz w:val="28"/>
          <w:szCs w:val="28"/>
        </w:rPr>
        <w:t xml:space="preserve">四、第四個問題：那我先做什麼？</w:t>
      </w: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4.1 兩件事必須分開：想不想，與能不能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實務上最常見的誤判，是把「不簽名」當成同一件事處理。但不簽名有兩種完全不同的原因：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意願問題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（不想簽）與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可簽性問題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（簽不了）。一個地主明明願意，卻因為繼承沒辦、有抵押、公同共有而簽不了——這是行政工作，再怎麼談都沒用，得去辦手續。把他算進「待說服名單」，會嚴重高估整合難度。</w:t>
      </w: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4.2 四種意願型別，四種對策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類型</w:t>
            </w:r>
          </w:p>
        </w:tc>
        <w:tc>
          <w:tcPr>
            <w:tcW w:type="dxa" w:w="225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他在算什麼</w:t>
            </w:r>
          </w:p>
        </w:tc>
        <w:tc>
          <w:tcPr>
            <w:tcW w:type="dxa" w:w="225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對應方法</w:t>
            </w:r>
          </w:p>
        </w:tc>
        <w:tc>
          <w:tcPr>
            <w:tcW w:type="dxa" w:w="225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絕對不能做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策略型</w:t>
            </w:r>
          </w:p>
        </w:tc>
        <w:tc>
          <w:tcPr>
            <w:tcW w:type="dxa" w:w="225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選擇權價值，等更好條件</w:t>
            </w:r>
          </w:p>
        </w:tc>
        <w:tc>
          <w:tcPr>
            <w:tcW w:type="dxa" w:w="225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讓「等」變貴：政策時效、代拆到期日、獎勵落日</w:t>
            </w:r>
          </w:p>
        </w:tc>
        <w:tc>
          <w:tcPr>
            <w:tcW w:type="dxa" w:w="225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顯露急迫（被讀成還有空間）</w:t>
            </w:r>
          </w:p>
        </w:tc>
      </w:tr>
      <w:tr>
        <w:tc>
          <w:tcPr>
            <w:tcW w:type="dxa" w:w="225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恐懼型</w:t>
            </w:r>
          </w:p>
        </w:tc>
        <w:tc>
          <w:tcPr>
            <w:tcW w:type="dxa" w:w="225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理性懷疑，不信這個實施者</w:t>
            </w:r>
          </w:p>
        </w:tc>
        <w:tc>
          <w:tcPr>
            <w:tcW w:type="dxa" w:w="225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制度性擔保：續建機制、連帶保證、履約保證</w:t>
            </w:r>
          </w:p>
        </w:tc>
        <w:tc>
          <w:tcPr>
            <w:tcW w:type="dxa" w:w="225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加碼（會加深懷疑）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錨定型</w:t>
            </w:r>
          </w:p>
        </w:tc>
        <w:tc>
          <w:tcPr>
            <w:tcW w:type="dxa" w:w="225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錨在室內實坪／原樓層／情感</w:t>
            </w:r>
          </w:p>
        </w:tc>
        <w:tc>
          <w:tcPr>
            <w:tcW w:type="dxa" w:w="225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回應真正錨定的：同坪室內、原樓層、承認錢補不回的東西</w:t>
            </w:r>
          </w:p>
        </w:tc>
        <w:tc>
          <w:tcPr>
            <w:tcW w:type="dxa" w:w="225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用權狀坪數回應（他在看的不是這個）</w:t>
            </w:r>
          </w:p>
        </w:tc>
      </w:tr>
      <w:tr>
        <w:tc>
          <w:tcPr>
            <w:tcW w:type="dxa" w:w="225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反對型</w:t>
            </w:r>
          </w:p>
        </w:tc>
        <w:tc>
          <w:tcPr>
            <w:tcW w:type="dxa" w:w="225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根本不想改建（情感／特殊意義）</w:t>
            </w:r>
          </w:p>
        </w:tc>
        <w:tc>
          <w:tcPr>
            <w:tcW w:type="dxa" w:w="225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走法定程序（需多數決非全體同意）</w:t>
            </w:r>
          </w:p>
        </w:tc>
        <w:tc>
          <w:tcPr>
            <w:tcW w:type="dxa" w:w="225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持續加碼說服（投入產出極低）</w:t>
            </w:r>
          </w:p>
        </w:tc>
      </w:tr>
    </w:tbl>
    <w:p>
      <w:pPr>
        <w:spacing w:after="80" w:before="0" w:line="276"/>
        <w:jc w:val="left"/>
      </w:pP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前三型都理性，只是理性錨在不同維度。只有第四型超出理性計算，需尊重＋法定程序。</w:t>
      </w:r>
    </w:p>
    <w:p>
      <w:pPr>
        <w:pStyle w:val="Heading4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666666"/>
          <w:sz w:val="21"/>
          <w:szCs w:val="21"/>
        </w:rPr>
        <w:t xml:space="preserve">最重要的一條：對恐懼型加碼是反效果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他要的不是更多錢，是「你不會跑」的保證。你加錢，他心裡浮現的是「原來還有空間，那你之前是不是騙我」。正確做法是用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制度的信用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取代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公司的信用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：信託續建、連帶保證書、履約保證、增資到位後的證明。</w:t>
      </w: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4.3 從二元到三態：不同意戶的真實處境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比「同意／反對」更真實的模型——地主在權利變換中實際面對三種狀態：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同意且參與選屋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：分配順序有利，可優先選擇偏好戶別。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同意但未參與選屋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→ 由其他住戶選完後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公開抽籤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——通常抽到的是大家不要的差戶別。這是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內建的、不靠強制力的「軟懲罰」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不同意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→ 未達最小分配單元者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領補償金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（更新前價值），失去以小換大的機會。</w:t>
      </w:r>
    </w:p>
    <w:p>
      <w:pPr>
        <w:pBdr>
          <w:left w:val="single" w:color="C5A02A" w:sz="6" w:space="8"/>
        </w:pBdr>
        <w:spacing w:after="120" w:before="60"/>
        <w:ind w:left="40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「選屋順序」本身就是一種可分配的籌碼——推著猶豫的地主從消極回到談判桌。這不是威脅，是制度設計。</w:t>
      </w: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4.4 代理人道德風險：全案管理模式的破局命門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當實施者是代理人（收固定管理費、不分回房地、不承擔最終盈虧）時，風險與報酬的錯配成為不同意戶攻擊的核心：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道德風險</w:t>
            </w:r>
          </w:p>
        </w:tc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機制</w:t>
            </w:r>
          </w:p>
        </w:tc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為什麼理性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營造成本虛報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管理公司代為招標，可能抬高報價賺差價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管理公司不承擔成本超支風險</w:t>
            </w:r>
          </w:p>
        </w:tc>
      </w:tr>
      <w:tr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工期拖延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服務費若按月或按進度收取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案子拖越久，管理費總額越多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前期收費偏高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開工前即收 40% 管理費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後期動機不足，地主承擔沉沒成本</w:t>
            </w:r>
          </w:p>
        </w:tc>
      </w:tr>
      <w:tr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餘屋低價拋售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為快速結案領尾款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壓低售價犧牲地主利潤</w:t>
            </w:r>
          </w:p>
        </w:tc>
      </w:tr>
    </w:tbl>
    <w:p>
      <w:pPr>
        <w:spacing w:after="80" w:before="0" w:line="276"/>
        <w:jc w:val="left"/>
      </w:pP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解方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（賽局層面）：不是增加監督——是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重新設計誘因結構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，讓實施者的報酬與完工品質掛鉤：管理費後付比例提高、履約保證金、續建保證機制（公股建經背景）。</w:t>
      </w: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4.5 制度信用的五根柱子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風險不靠「相信某家公司」消除，靠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架構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隔絕：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產權信託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：土地信託給銀行，隔絕個別地主的個人債務／查封／繼承爭議。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專款專用＋建經三方查核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：資金入信託專戶，撥款前過三關——財務稽核、工程查核、預售查核。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續建完工機制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：建經公司「完工承諾」，異常時啟動續建、找新廠商接手。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債務切分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：地主互不聯保，債務依分配比例各自承擔。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政府監督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：事業計畫經主管機關審查核定始得公告實施；重大異常可監管／代管／接管。</w:t>
      </w:r>
    </w:p>
    <w:p>
      <w:pPr>
        <w:pBdr>
          <w:left w:val="single" w:color="C5A02A" w:sz="6" w:space="8"/>
        </w:pBdr>
        <w:spacing w:after="120" w:before="60"/>
        <w:ind w:left="40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這五根柱子回答的是地主最深的恐懼——「蓋到一半落跑／被掏空怎麼辦」。在真實整合中，這比加錢更有效。</w:t>
      </w: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4.6 範圍紀律——做大餅不等於來者不拒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難整合的鄰房（如原容積已高的中樓層建物，加入後每戶可能只分回不到一坪、抗性極大）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不該拖垮基本盤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。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正解是「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先把核心基本盤穩固送件，留待後續協議擴大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」——scope 決策與「競合做大餅」是一體兩面。整合人不是來者不拒的和事佬，是知道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在哪裡畫線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的判斷者。</w:t>
      </w:r>
    </w:p>
    <w:p>
      <w:pPr>
        <w:pStyle w:val="Heading2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E5090"/>
          <w:sz w:val="28"/>
          <w:szCs w:val="28"/>
        </w:rPr>
        <w:t xml:space="preserve">五、把五個問題連起來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從第零層到第四層，是一條有方向的鏈：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層</w:t>
            </w:r>
          </w:p>
        </w:tc>
        <w:tc>
          <w:tcPr>
            <w:tcW w:type="dxa" w:w="225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問題</w:t>
            </w:r>
          </w:p>
        </w:tc>
        <w:tc>
          <w:tcPr>
            <w:tcW w:type="dxa" w:w="225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產出</w:t>
            </w:r>
          </w:p>
        </w:tc>
        <w:tc>
          <w:tcPr>
            <w:tcW w:type="dxa" w:w="225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交棒給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0</w:t>
            </w:r>
          </w:p>
        </w:tc>
        <w:tc>
          <w:tcPr>
            <w:tcW w:type="dxa" w:w="225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為什麼存在（底層邏輯）</w:t>
            </w:r>
          </w:p>
        </w:tc>
        <w:tc>
          <w:tcPr>
            <w:tcW w:type="dxa" w:w="225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判斷這塊地值不值得解鎖</w:t>
            </w:r>
          </w:p>
        </w:tc>
        <w:tc>
          <w:tcPr>
            <w:tcW w:type="dxa" w:w="225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→ 第一個問題</w:t>
            </w:r>
          </w:p>
        </w:tc>
      </w:tr>
      <w:tr>
        <w:tc>
          <w:tcPr>
            <w:tcW w:type="dxa" w:w="225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能蓋多少（容積／坪效）</w:t>
            </w:r>
          </w:p>
        </w:tc>
        <w:tc>
          <w:tcPr>
            <w:tcW w:type="dxa" w:w="225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可銷售坪數</w:t>
            </w:r>
          </w:p>
        </w:tc>
        <w:tc>
          <w:tcPr>
            <w:tcW w:type="dxa" w:w="225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→ 第二個問題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錢怎麼分（共負／雙軌）</w:t>
            </w:r>
          </w:p>
        </w:tc>
        <w:tc>
          <w:tcPr>
            <w:tcW w:type="dxa" w:w="225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各方分回與報酬率</w:t>
            </w:r>
          </w:p>
        </w:tc>
        <w:tc>
          <w:tcPr>
            <w:tcW w:type="dxa" w:w="225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→ 第三個問題</w:t>
            </w:r>
          </w:p>
        </w:tc>
      </w:tr>
      <w:tr>
        <w:tc>
          <w:tcPr>
            <w:tcW w:type="dxa" w:w="225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做不做得成（期望值）</w:t>
            </w:r>
          </w:p>
        </w:tc>
        <w:tc>
          <w:tcPr>
            <w:tcW w:type="dxa" w:w="225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GO / CAUTION / STOP</w:t>
            </w:r>
          </w:p>
        </w:tc>
        <w:tc>
          <w:tcPr>
            <w:tcW w:type="dxa" w:w="225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→ 第四個問題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dxa" w:w="225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先做什麼（對策）</w:t>
            </w:r>
          </w:p>
        </w:tc>
        <w:tc>
          <w:tcPr>
            <w:tcW w:type="dxa" w:w="225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明天早上該打給誰</w:t>
            </w:r>
          </w:p>
        </w:tc>
        <w:tc>
          <w:tcPr>
            <w:tcW w:type="dxa" w:w="225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→ 執行</w:t>
            </w:r>
          </w:p>
        </w:tc>
      </w:tr>
    </w:tbl>
    <w:p>
      <w:pPr>
        <w:spacing w:after="80" w:before="0" w:line="276"/>
        <w:jc w:val="left"/>
      </w:pP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五條讓數字可信的紀律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紀律</w:t>
            </w:r>
          </w:p>
        </w:tc>
        <w:tc>
          <w:tcPr>
            <w:tcW w:type="dxa" w:w="45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為什麼重要</w:t>
            </w:r>
          </w:p>
        </w:tc>
      </w:tr>
      <w:tr>
        <w:tc>
          <w:tcPr>
            <w:tcW w:type="dxa" w:w="45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公式只有一份</w:t>
            </w:r>
          </w:p>
        </w:tc>
        <w:tc>
          <w:tcPr>
            <w:tcW w:type="dxa" w:w="45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同一個數字在兩個地方算，遲早會對不起來。所有財務數字出自同一個計算核心</w:t>
            </w:r>
          </w:p>
        </w:tc>
      </w:tr>
      <w:tr>
        <w:tc>
          <w:tcPr>
            <w:tcW w:type="dxa" w:w="45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畫面不做推論</w:t>
            </w:r>
          </w:p>
        </w:tc>
        <w:tc>
          <w:tcPr>
            <w:tcW w:type="dxa" w:w="45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「該不該做」「先談誰」一律由引擎產出並可溯源，介面不自行發明結論</w:t>
            </w:r>
          </w:p>
        </w:tc>
      </w:tr>
      <w:tr>
        <w:tc>
          <w:tcPr>
            <w:tcW w:type="dxa" w:w="45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沒把握的事要標出來</w:t>
            </w:r>
          </w:p>
        </w:tc>
        <w:tc>
          <w:tcPr>
            <w:tcW w:type="dxa" w:w="45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完工機率的存活率尚未經大樣本校準——這句話必須和結論一樣顯眼</w:t>
            </w:r>
          </w:p>
        </w:tc>
      </w:tr>
      <w:tr>
        <w:tc>
          <w:tcPr>
            <w:tcW w:type="dxa" w:w="45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區分增值與搬移</w:t>
            </w:r>
          </w:p>
        </w:tc>
        <w:tc>
          <w:tcPr>
            <w:tcW w:type="dxa" w:w="45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容積／屋齡歸零／整合效率是真實增值；財務重分配只決定切法，不把餅變大</w:t>
            </w:r>
          </w:p>
        </w:tc>
      </w:tr>
      <w:tr>
        <w:tc>
          <w:tcPr>
            <w:tcW w:type="dxa" w:w="45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可歸因（V3 新增）</w:t>
            </w:r>
          </w:p>
        </w:tc>
        <w:tc>
          <w:tcPr>
            <w:tcW w:type="dxa" w:w="45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數字變了要說得出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誰造成的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，且各項原因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加得回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總變化量；算不出來時明確拒答，不用「其他」吸收差額（§2.7）</w:t>
            </w:r>
          </w:p>
        </w:tc>
      </w:tr>
    </w:tbl>
    <w:p>
      <w:pPr>
        <w:spacing w:after="80" w:before="0" w:line="276"/>
        <w:jc w:val="left"/>
      </w:pPr>
    </w:p>
    <w:p>
      <w:pPr>
        <w:pBdr>
          <w:left w:val="single" w:color="C5A02A" w:sz="6" w:space="8"/>
        </w:pBdr>
        <w:spacing w:after="120" w:before="60"/>
        <w:ind w:left="40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前四條守的是「數字算得對」，第五條守的是「數字說得清」。一份說不出原因的結論，在談判桌上撐不過第二個問題。</w:t>
      </w:r>
    </w:p>
    <w:p>
      <w:pPr>
        <w:pStyle w:val="Heading2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E5090"/>
          <w:sz w:val="28"/>
          <w:szCs w:val="28"/>
        </w:rPr>
        <w:t xml:space="preserve">附錄 A：2026 趨勢透鏡——六股風同時吹</w:t>
      </w:r>
    </w:p>
    <w:p>
      <w:pPr>
        <w:pBdr>
          <w:left w:val="single" w:color="C5A02A" w:sz="6" w:space="8"/>
        </w:pBdr>
        <w:spacing w:after="120" w:before="60"/>
        <w:ind w:left="40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查證 2026-08。市場趨勢不是背景知識，是必須逐項回寫進敏感度的參數。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趨勢</w:t>
            </w:r>
          </w:p>
        </w:tc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2026 現況</w:t>
            </w:r>
          </w:p>
        </w:tc>
        <w:tc>
          <w:tcPr>
            <w:tcW w:type="dxa" w:w="30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回寫評估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資金・利率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價緩跌量盤整；央行轉精準控管，土建融未鬆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折現率保守；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素地難求＋限貸 → 火力集中都更危老</w:t>
            </w:r>
          </w:p>
        </w:tc>
      </w:tr>
      <w:tr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供給・餘屋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餘屋約 8–10 萬戶；2026–28 完工 32–36 萬戶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去化下修，分回戶銷售時點錯開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營造成本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年漲 2–3%；台北 RC ≈每坪 28 萬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用總樓地板坪、逐年升幅入模；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共負上升→分回壓縮</w:t>
            </w:r>
          </w:p>
        </w:tc>
      </w:tr>
      <w:tr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人口結構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高齡化、少子化、家戶縮小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產品轉小宅・適老・無障礙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政策降溫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平均地權・囤房稅 2.0・房地合一 2.0</w:t>
            </w:r>
          </w:p>
        </w:tc>
        <w:tc>
          <w:tcPr>
            <w:tcW w:type="dxa" w:w="30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買方轉自用・長期持有・法人退場</w:t>
            </w:r>
          </w:p>
        </w:tc>
      </w:tr>
      <w:tr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淨零・能效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BERS（2025/7 實施）；2040 前 50% 既有達能效一級</w:t>
            </w:r>
          </w:p>
        </w:tc>
        <w:tc>
          <w:tcPr>
            <w:tcW w:type="dxa" w:w="30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危老都更＝國家級減碳槓桿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；能效＋綠建築疊加容獎</w:t>
            </w:r>
          </w:p>
        </w:tc>
      </w:tr>
    </w:tbl>
    <w:p>
      <w:pPr>
        <w:spacing w:after="80" w:before="0" w:line="276"/>
        <w:jc w:val="left"/>
      </w:pPr>
    </w:p>
    <w:p>
      <w:pPr>
        <w:pBdr>
          <w:left w:val="single" w:color="C5A02A" w:sz="6" w:space="8"/>
        </w:pBdr>
        <w:spacing w:after="120" w:before="60"/>
        <w:ind w:left="40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2026 是「逆風中的結構性順風」——市場降溫，但限貸與淨零政策把資金與題材擠向都更危老。把六股風逐一回寫進敏感度，而非只喊「都更有前景」。</w:t>
      </w:r>
    </w:p>
    <w:p>
      <w:pPr>
        <w:pStyle w:val="Heading2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E5090"/>
          <w:sz w:val="28"/>
          <w:szCs w:val="28"/>
        </w:rPr>
        <w:t xml:space="preserve">附錄 B：法規宇宙速查</w:t>
      </w: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核心三法：路徑與同意門檻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法源</w:t>
            </w:r>
          </w:p>
        </w:tc>
        <w:tc>
          <w:tcPr>
            <w:tcW w:type="dxa" w:w="45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同意門檻（依現行條文）</w:t>
            </w:r>
          </w:p>
        </w:tc>
      </w:tr>
      <w:tr>
        <w:tc>
          <w:tcPr>
            <w:tcW w:type="dxa" w:w="45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都市更新條例</w:t>
            </w:r>
          </w:p>
        </w:tc>
        <w:tc>
          <w:tcPr>
            <w:tcW w:type="dxa" w:w="45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事業概要 §22 &gt;1/2；事業計畫 §37：第 7 條劃定地區 &gt;1/2；其餘 &gt;3/4；面積 &gt;9/10 者人數不計</w:t>
            </w:r>
          </w:p>
        </w:tc>
      </w:tr>
      <w:tr>
        <w:tc>
          <w:tcPr>
            <w:tcW w:type="dxa" w:w="45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33333"/>
                <w:sz w:val="18"/>
                <w:szCs w:val="18"/>
              </w:rPr>
              <w:t xml:space="preserve">危老條例</w:t>
            </w:r>
          </w:p>
        </w:tc>
        <w:tc>
          <w:tcPr>
            <w:tcW w:type="dxa" w:w="45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全體（100%）同意，無須劃定更新單元</w:t>
            </w:r>
          </w:p>
        </w:tc>
      </w:tr>
    </w:tbl>
    <w:p>
      <w:pPr>
        <w:spacing w:after="80" w:before="0" w:line="276"/>
        <w:jc w:val="left"/>
      </w:pPr>
    </w:p>
    <w:p>
      <w:pPr>
        <w:pBdr>
          <w:left w:val="single" w:color="C5A02A" w:sz="6" w:space="8"/>
        </w:pBdr>
        <w:spacing w:after="120" w:before="60"/>
        <w:ind w:left="40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危老時程獎勵已歸零（114/5 落日）。路徑天平重新傾向都更多數決。</w:t>
      </w:r>
    </w:p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B365D"/>
          <w:sz w:val="24"/>
          <w:szCs w:val="24"/>
        </w:rPr>
        <w:t xml:space="preserve">你可能沒想過的那幾條（盲區清單）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法源</w:t>
            </w:r>
          </w:p>
        </w:tc>
        <w:tc>
          <w:tcPr>
            <w:tcW w:type="dxa" w:w="4500"/>
            <w:shd w:fill="1B365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為什麼會翻車</w:t>
            </w:r>
          </w:p>
        </w:tc>
      </w:tr>
      <w:tr>
        <w:tc>
          <w:tcPr>
            <w:tcW w:type="dxa" w:w="45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平均地權條例（2023/7）</w:t>
            </w:r>
          </w:p>
        </w:tc>
        <w:tc>
          <w:tcPr>
            <w:tcW w:type="dxa" w:w="45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限制預售換約、私法人許可制 → 改變買方結構</w:t>
            </w:r>
          </w:p>
        </w:tc>
      </w:tr>
      <w:tr>
        <w:tc>
          <w:tcPr>
            <w:tcW w:type="dxa" w:w="45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信託法・不動產開發信託</w:t>
            </w:r>
          </w:p>
        </w:tc>
        <w:tc>
          <w:tcPr>
            <w:tcW w:type="dxa" w:w="45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續建機制與資金專戶的法制基礎</w:t>
            </w:r>
          </w:p>
        </w:tc>
      </w:tr>
      <w:tr>
        <w:tc>
          <w:tcPr>
            <w:tcW w:type="dxa" w:w="45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文化資產保存法</w:t>
            </w:r>
          </w:p>
        </w:tc>
        <w:tc>
          <w:tcPr>
            <w:tcW w:type="dxa" w:w="45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老屋可能被列冊，影響可拆性與容積</w:t>
            </w:r>
          </w:p>
        </w:tc>
      </w:tr>
      <w:tr>
        <w:tc>
          <w:tcPr>
            <w:tcW w:type="dxa" w:w="45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銀行法 §72-2・土建融管制</w:t>
            </w:r>
          </w:p>
        </w:tc>
        <w:tc>
          <w:tcPr>
            <w:tcW w:type="dxa" w:w="45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放款水位直接決定資金到不到位</w:t>
            </w:r>
          </w:p>
        </w:tc>
      </w:tr>
      <w:tr>
        <w:tc>
          <w:tcPr>
            <w:tcW w:type="dxa" w:w="45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民法（共有・優先承買）</w:t>
            </w:r>
          </w:p>
        </w:tc>
        <w:tc>
          <w:tcPr>
            <w:tcW w:type="dxa" w:w="45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持分、繼承未分割——權屬整合的硬骨頭</w:t>
            </w:r>
          </w:p>
        </w:tc>
      </w:tr>
      <w:tr>
        <w:tc>
          <w:tcPr>
            <w:tcW w:type="dxa" w:w="45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建築技術規則 §162</w:t>
            </w:r>
          </w:p>
        </w:tc>
        <w:tc>
          <w:tcPr>
            <w:tcW w:type="dxa" w:w="4500"/>
            <w:shd w:fill="E8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停車數跨 50 輛觸發雙車道；免計逐層核算</w:t>
            </w:r>
          </w:p>
        </w:tc>
      </w:tr>
      <w:tr>
        <w:tc>
          <w:tcPr>
            <w:tcW w:type="dxa" w:w="45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消保法／預售定型化契約</w:t>
            </w:r>
          </w:p>
        </w:tc>
        <w:tc>
          <w:tcPr>
            <w:tcW w:type="dxa" w:w="450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33333"/>
                <w:sz w:val="18"/>
                <w:szCs w:val="18"/>
              </w:rPr>
              <w:t xml:space="preserve">分回戶合約合規，違反即無效</w:t>
            </w:r>
          </w:p>
        </w:tc>
      </w:tr>
    </w:tbl>
    <w:p>
      <w:pPr>
        <w:spacing w:after="80" w:before="0" w:line="276"/>
        <w:jc w:val="left"/>
      </w:pPr>
    </w:p>
    <w:p>
      <w:pPr>
        <w:pStyle w:val="Heading2"/>
        <w:spacing w:after="120" w:before="360"/>
      </w:pPr>
      <w:r>
        <w:rPr>
          <w:rFonts w:ascii="Microsoft JhengHei" w:cs="Microsoft JhengHei" w:eastAsia="Microsoft JhengHei" w:hAnsi="Microsoft JhengHei"/>
          <w:b/>
          <w:bCs/>
          <w:color w:val="2E5090"/>
          <w:sz w:val="28"/>
          <w:szCs w:val="28"/>
        </w:rPr>
        <w:t xml:space="preserve">誠實限制（本文件與系統共同適用）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完工機率所依的階段存活率為示意預設，已使用一件在途審議案（n=1）進行條件存活率錨定，但尚未經大樣本校準。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對策庫源自三個真實破局案例＋賽局與行為經濟理論，樣本小，屬方向性建議。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所有分型只是提示，權威永遠是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親自見過那個人的整合人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歸因（§2.7）目前只處理參數層級的差異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：兩個方案若結構不同（樓層表、產權清冊、案件類型、投報模式改變），系統會明確拒答而非給出近似值。這是刻意的邊界，不是缺漏。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法定期限庫已逐條附法源，但仍標記為</w:t>
      </w:r>
      <w:r>
        <w:rPr>
          <w:rFonts w:ascii="Microsoft JhengHei" w:cs="Microsoft JhengHei" w:eastAsia="Microsoft JhengHei" w:hAnsi="Microsoft JhengHei"/>
          <w:b/>
          <w:bCs/>
          <w:color w:val="333333"/>
          <w:sz w:val="21"/>
          <w:szCs w:val="21"/>
        </w:rPr>
        <w:t xml:space="preserve">待複核</w:t>
      </w: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；法規大修期間，個案適用一律以主管機關核定當下版本為準。</w:t>
      </w:r>
    </w:p>
    <w:p>
      <w:pPr>
        <w:spacing w:after="120" w:before="0" w:line="276"/>
        <w:ind w:left="400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本文所有案例與數字均為合成，不含任何真實案件資訊。</w:t>
      </w:r>
    </w:p>
    <w:p>
      <w:pPr>
        <w:spacing w:after="120" w:before="0" w:line="276"/>
        <w:jc w:val="left"/>
      </w:pPr>
      <w:r>
        <w:rPr>
          <w:rFonts w:ascii="Microsoft JhengHei" w:cs="Microsoft JhengHei" w:eastAsia="Microsoft JhengHei" w:hAnsi="Microsoft JhengHei"/>
          <w:color w:val="333333"/>
          <w:sz w:val="21"/>
          <w:szCs w:val="21"/>
        </w:rPr>
        <w:t xml:space="preserve">BUILDER · Urban Renewal Decision OS · V3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2026-08-07T02:18:20.416Z</dcterms:created>
  <dcterms:modified xsi:type="dcterms:W3CDTF">2026-08-07T02:18:20.429Z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