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52"/>
          <w:szCs w:val="52"/>
        </w:rPr>
        <w:t xml:space="preserve">都市更新開發總論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2E5090"/>
          <w:sz w:val="28"/>
          <w:szCs w:val="28"/>
        </w:rPr>
        <w:t xml:space="preserve">從底層邏輯到決策收斂的五個問題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C5A02A"/>
          <w:sz w:val="20"/>
          <w:szCs w:val="20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2"/>
          <w:szCs w:val="22"/>
        </w:rPr>
        <w:t xml:space="preserve">V3 · 2026年8月 · Core 0.5.0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本文件所有案例均為合成資料，零真實案件資訊</w:t>
      </w:r>
    </w:p>
    <w:p>
      <w:pPr>
        <w:spacing w:after="200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法規查證日：2026/08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C5A02A"/>
          <w:sz w:val="18"/>
          <w:szCs w:val="18"/>
        </w:rPr>
        <w:t xml:space="preserve">BUILDER · Urban Renewal Decision 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36"/>
          <w:szCs w:val="36"/>
        </w:rPr>
        <w:t xml:space="preserve">都市更新開發總論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從底層邏輯到決策收斂的五個問題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V3 · 2026 年 8 月 · Core 0.5.0 · 本文件所有案例均為合成資料，零真實案件資訊 法規查證日：2026/08。都更／危老法規正處於 2025–2027 大修期，涉及具體案件適用，以主管機關核定當下版本為準。  V3 新增：§2.7 方案比較的歸因紀律（差異要說得出誰造成、且加得回去）、 §3.6 時間治理（法定期限帶法源／經驗法則須標示）、§5 第五條紀律「可歸因」。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零、底層邏輯：都市更新為什麼存在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在進入任何計算之前，必須先回答一個更根本的問題：都市更新這件事，底層在做什麼？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以下四層邏輯由最底往上堆疊。每一層都是前一層的結果。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0 層：被鎖死的價值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一塊土地可能已經價值數億，但上面壓著一棟殘值趨近零的舊樓和數十個各有否決權的產權人。價值存在，但被產權結構鎖死了——沒有任何單一地主能解鎖它，因為拆一戶不能蓋新樓，要法定多數才動得了。這是反公地悲劇：太多否決權，資源被鎖死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所以都更的第一性問題不是「怎麼蓋」，是：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怎麼讓一群各有否決權、各有盤算的人，一起同意解鎖？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1 層：解鎖的能量從哪來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光解鎖不夠，得讓解鎖後的餅比現在大，否則沒人願意承擔 6–10 年的不確定。把餅做大的能量來自三個真實來源（不是帳面搬移）：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增值來源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本質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為什麼重要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容積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法規允許蓋更多坪（最大能量源）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容積是政府用公共資源購買都市再生的工具——都更從一開始就不是純市場行為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屋齡歸零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老屋→新成屋，單價跳升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45 年殘值趨零→新屋市價，這是名目報酬恆正的來源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整合效率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破碎產權→完整基地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規劃自由度提升、建蔽率用足、地下室效率提高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2 層：做大的餅怎麼切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增值後的總價值，要切給地主、銀行、政府、營造、實施者、稅務。共同負擔（§51）和權利變換（§50）就是這套法定切餅演算法。但切餅是零和的（你多一坪我少一坪），而做餅是正和的（合作解鎖大家受益）。都更把一群人同時放進正和與零和兩個賽局——這就是它的結構性張力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第 3 層：時間 × 信任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切餅之所以特別難，不只因為零和，而是因為餅是未來的、不確定的。地主放棄的是今天確定的舊房，換的是 6–10 年後不確定的新房，要乘完工機率、要折現。每個人在等別人先承諾，每個人的「不簽」都是一個有時間價值的選擇權。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底層邏輯收束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都市更新是用容積（政府資源）解鎖被產權鎖死的土地價值，再讓一群各有否決權的人，在多年不確定性下，接受一個零和的分配。所以它從來不是工程問題，是「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如何在時間與信任的雙重折損下，讓每一方的期望值都為正、都不願掀桌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」的賽局設計問題。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核心命題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規劃決定財務，財務決定人心。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你把房子蓋成什麼樣（坪型、公設比、樓層），決定了成本與總銷；成本與總銷決定了地主能分回多少；地主能分回多少，決定他要不要簽名。這三件事是一條鏈，不是三個獨立的部門。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一、第一個問題：這塊地能蓋多少？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1.1 從基地到銷售坪的計算鏈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所有財務數字的源頭，是「這塊地能蓋出多少可以賣的坪數」。這條鏈環環相扣，任何一環算錯，後面全部連錯。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基地面積（扣退縮）→ 乘容積率 → 加容積獎勵 → 加容積移轉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允建容積 → 加免計容積（機電/梯廳/陽台）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除以（1−公設比）→ 可銷售坪數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關鍵細節：實務上最常算錯的地方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環節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常見錯誤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正確作法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基地面積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直接用謄本面積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須先扣除人行廣場、退縮地，才乘容積率；FA 用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使照基地面積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，非謄本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容積獎勵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各項獎勵無上限相加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各項有法定上限，且總量受管制（都更上限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2 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基準、危老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1.3 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基準）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容積移轉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當成百分比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是絕對面積，加在允建容積上，不是乘上去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§162 免計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忽略逐層檢核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機電、梯廳、陽台各有免計上限，須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逐層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核算（總量法放大近 10 倍）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營造樓地板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只算允建坪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須含地下室，只算允建坪會低估約一半成本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銷坪比（坪效）的健康帶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銷售坪 ÷ 允建坪，正常落在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1.58–1.68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。低於 1.58 可能量體規劃過於保守或免計項沒用足；高於 1.68 可能高估了可銷售面積，送審時容易被打回。公設比 34% 時穩定約 1.62–1.63。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1.2 獎勵組合最佳化——用最低現金成本湊到上限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同樣是衝高量體，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不同獎勵來源的現金成本天差地別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——這是量體規劃中容易被忽略的維度：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獎勵類型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現金成本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買道路用地做容積移轉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高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（真金白銀買地捐市府）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量大但貴，通常是湊上限的最後手段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海砂屋／結構鑑定專案獎勵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近零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（鑑定費而已）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若既有建物符合條件，可替代部分容移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綠建築／智慧建築／耐震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中等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（設計階段投入）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可對接 BERS 能效標示與 ESG 資金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時程獎勵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危老已歸零（114/5 落日）；都更視送件時點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量體規劃不是「湊到上限就好」，是用最低現金成本湊到上限。各項目須逐案由專業鑑定與審議認定，勿當通則。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1.3 雙層槓桿——對地主溝通的標準框架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地主關心的不是「容積率」，是「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我這塊地最後變幾坪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」。以下心智模型把抽象法規翻成一個乘法故事：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原始土地 1 坪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  ① 容積獎勵槓桿（示意：50% 都更獎勵 → 地坪 2.4 變基準建坪 3.6）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基準建築面積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↓  ② 產權倍數槓桿（×1.6–1.63，含公設與附屬建物）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總產權面積（示意：每 1 坪土地 → 約 5.8–7.5 坪總產權）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但務必同時揭示②的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公設比代價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——超高層拉高時（如 15→20 層），觸發不同級別的消防與結構規格（雙安全梯、緊急升降機等），公設比上升（示意至約 34%），室內實坪變緊。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量體極大化是有邊際成本的最佳化，不是越高越好。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1.4 都市計畫上位：先讀計畫，再談容積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容積率不是憑空的數字，它從上位計畫一路長下來。在容積試算之前，先做「都市計畫體檢表」：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上位計畫 → 分區管制 → 容積率／建蔽率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：先確認主要／細部計畫、退縮、開放空間、高度管制。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都市設計審議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：一定規模須過都審，影響量體、外觀與時程。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TOD／都市再生／策略地區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：常帶額外容積，是爭取量體的槓桿。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容積移轉（TDR）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：受移入比例與區位上限管制，須與獎勵一併納入「容積帳」。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二、第二個問題：錢怎麼分？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2.1 兩種角色結構，兩種財務邏輯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在進入共同負擔計算之前，必須先釐清一個常被混淆的前提：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誰是建商？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構面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合建模式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全案管理模式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誰是建商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建商（實施者）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地主自組更新會（自任起造人）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實施者角色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開發商，分回房地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代理人，僅收管理費、零分回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土地成本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建商取得，計入共負 G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地主自有，不計土地成本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實施者報酬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銷售利潤（可能數億）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固定管理費（約總銷 5–10%）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地主風險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分配比例談定後相對明確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100% 自負盈虧、扛連帶保證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破局命門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分配比例（零和談判）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代理人道德風險（風險與報酬錯配）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全案管理的結構張力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全案管理聽起來對地主有利（報酬率可達 80%+），但風險與報酬錯配：實施者賺固定管理費、不扛最終盈虧，卻可能開工前先收高比例款項——這是「拿住戶的錢辦住戶的事」的代理人道德風險。破局解方不是加碼補償，是以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制度信用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（續建保證、公股建經、連帶保證）替換公司信用。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全案管理的經濟學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PCM 顧問與地主是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僱傭關係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（經理人），非對賭——所有權、決策權、利潤全歸地主。費率邏輯的關鍵對照：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費率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：總銷某百分比（示意 6–7%），服務期可達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8 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錨點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：代銷僅 6–9 個月銷售即收 5–6% 佣金。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費率÷服務月數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，PCM 的月均成本遠低於代銷。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前期墊款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：顧問代墊估價／設計前期費用（示意數千萬），讓地主在銀行撥款前「零出資」——墊款＝顧問把利益與案子綁定的信號（skin in the game）。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2.2 共同負擔：切餅的法定演算法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共同負擔是「這個案子要花的所有錢」，由更新後的房地價值折價抵付。付完之後剩下的，才是地主可以分回的部分。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共負比越高，地主分回越少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——這是地主最在意的一個數字，也是談判的引信。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科目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實務重點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A 工程費用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營造成本＋設計規劃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占比最大（常達 55–60%）；營造基準須含地下室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B 管維費用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容積獎勵管理維護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依 A 連動；綠建築等標章有額外管維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C 權變費用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權變作業＋拆遷補償＋租金補償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拆補與租金基準是權變戶數，非總銷售戶數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D 貸款利息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土融＋建融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全案管理模式土地成本為 0，故無土融；利息占比看融資成數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E 稅捐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營業稅＋印花稅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依總銷計算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F 管理費用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全案管理費＋代銷＋信託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全案管理費僅全案管理模式適用；代銷約 5%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G 土地成本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取得土地的價金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僅合建／買賣模式計入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2.3 融資閘門：共負比 &lt; 70%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地主「零出資」重建不是天上掉下來的，而是有一道可量化的財務閘門：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判準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：共同負擔比（「成份比」）需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低於約 70%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，銀行才願全額土建融。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機制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：成份比越低＝現金流安全邊際越大＝銀行越敢 100% 融資＝地主越不必自掏工程款。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同一個數字，兩個世界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：&gt;70% 與 &lt;70% 對地主是「要不要掏錢」的分水嶺。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共同負擔比不只是分回計算的中間值——它是融資可行性的開關，翻譯成地主語言就是「你要不要掏錢」。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2.4 雙軌口徑：私約軌 vs 公法軌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同一個案子存在兩套並存且皆為真實的數字，服務不同對象、依據不同基準。理解兩者不是同一個量的兩個值，而是兩個不同對象各自的關鍵指標，是財務分析的核心。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構面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私約軌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公法軌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別名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合建契約／更新會開發報酬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權變估價／法定共同負擔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服務對象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地主（更新會）自身開發決策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都更審議、程序正義、公開展覽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核心指標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全案報酬率（利潤÷成本）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共同負擔比（共負÷更新後總值）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計算基準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實際發包造價＋全案銷售收入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主管機關共同負擔提列基準（§51）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回答的問題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地主自建自售能賺多少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地主須折價抵付實施者多少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私約軌用實際造價計成本；公法軌用法定提列基準計成本。兩者口徑不同，報酬率與負擔比是不同維度的指標——把它們直接比較是常見的誤讀。實務上須同時掌握兩軌數字，才能完整理解一個案子的財務全貌。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三種報酬率並存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全案報酬率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（利潤÷總成本，地主自建視角）、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全案權變報酬率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（僅計權變戶）、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自有資金報酬率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（利潤÷自籌款，槓桿放大後）。同一案在不同付款時程設計下，自有資金報酬率可由 +85% 翻轉為 −6%——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開發報酬對付款結構的敏感度極高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2.5 稅制地形：切餅之後誰再被切一刀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稅制不只是「付多少稅」，更是影響地主實質分回與出售策略的隱藏參數：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稅目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對開發評估的影響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房地合一稅 2.0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持有 ≤2 年 45%、2–5 年 35%、5–10 年 20%、&gt;10 年 15%；自住 6 年以上 10%。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法人比照個人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、預售屋納入 → 抑短期、利長期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囤房稅 2.0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（2025/5 首徵）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全國歸戶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；非自住 2%–4.8% → 持有老屋成本上升，更新誘因相對提高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都更稅捐減免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（§67）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地價稅免／減半、房屋稅減半 2 年（可延長至 10 年）、土增稅／契稅第一次移轉減 40%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新舊制分裂——土地與建物分屬不同稅制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都更分回後的房地合一稅，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土地與建物適用不同認定規則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土地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：長期持有／繼承者持有時點延續（多落舊制，享免所得稅優勢）。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建物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：全新取得，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適用房地合一新制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取得日認定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：個人與營利事業規則不同；營利事業以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事業計畫核定之日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認定。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「土地仍屬舊制」是簡化版。正解是「視身分與取得情形，土地與建物拆開認定」——出售時點與分價拆算的關鍵，須請稅務專業逐案核。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12 年減半的所有權人陷阱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房屋稅最長 12 年減半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僅限原所有權人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。重建期間或完成後若發生繼承／買賣致所有權人變動，優惠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提前終結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——家族傳承規劃須把此節點納入。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2.6 交屋流動性——零出資的真正終點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「零出資重建」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前期為真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（顧問代墊＋銀行融資），但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交屋時點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會冒出一筆選擇：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出售比例 ≈ 共負比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：若共負約 58%，地主理論上需在交屋時出售約 58% 分回房產抵付工程款，剩餘才能無貸交屋。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去化不如預期的 backstop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：不足清償部分可申請房貸或以自有資金補足，非等比例立即被扣。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銀行核貸看「財力與資歷」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：名下股債、收租資產，或請有收入子女共同借款。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把交屋流動性關卡做進財務分析，比「同意率達標就贏」真實得多。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2.7 方案比較的歸因紀律——差異要說得出誰造成，而且要加得回去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實務上最常見的動作不是「算一個方案」，是「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比兩個方案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」：拉高單價、少做幾個車位、營造成本上調，然後問一句「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所以報酬率為什麼從 51.5% 變成 56.9%？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這個問題看似簡單，卻藏著三個會毀掉信任的陷阱。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陷阱一：diff 不是歸因。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 兩份數字相減只能說「什麼變了」，說不出「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誰造成的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」。多個欄位同時變動時，各自的貢獻必須用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反事實重算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求出——把其他條件固定在變更前，只讓這一項動，看指標移動多少。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陷阱二：加不回去的原因清單，等於沒有原因。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 欄位之間有交互作用（單價上調會放大車位減少的衝擊），各自的邊際效果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不會自動等於總變化量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。若使用者看到「報酬率掉 2.0 個百分點，但列出的原因只加到 1.4」，信任瞬間歸零——而歸因這件事存在的目的正是建立信任。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正解是讓加總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恆等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成立，並把交互作用明確列為一項「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殘差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」，而不是偷偷藏起來：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Σ 各項貢獻 ＋ 殘差 ＝ 實際變化量        （恆等，不是近似）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加總是否恰好等於變化量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代價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用在哪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一次只改一項（OAT）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❌ 需靠殘差補回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n 次重算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變動項目很多時的退路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Shapley 值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✅ 完全相等，且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與順序無關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2ⁿ 次重算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變動項目 ≤10 的預設做法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依序累加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✅ 但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換個順序答案就不同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n 次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❌ 不採用（結論取決於排列＝不是事實）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「換個順序答案就不同」是判斷一套歸因可不可信的照妖鏡。貢獻度必須是輸入集合的性質，不是輸入順序的性質。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陷阱三：單位講錯，整段話就錯。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 報酬率從 51.5% 到 56.9%，是「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上升 5.44 個百分點（ppt）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」，不是「上升 5.44%」（那會被讀成相對變動 ≈10.6%），更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不是 IRR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——全案報酬率是「利潤÷成本」的靜態比率，沒有時間維度；IRR 是使現金流淨現值歸零的折現率。兩者不同物，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不可互換稱呼、不可互相換算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。談差異一律用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ppt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明確拒答比虛假歸因更誠實。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 若兩個方案的差異不只是參數，而是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結構不同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——樓層表改了、產權清冊增減、案件類型從危老換成都更——那麼「單一欄位的邊際貢獻」根本沒有一致定義。此時正確的動作是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拒絕作答並說明原因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，而不是把算不出來的差額塞進一項叫「其他」的東西裡。使用者看到「其他：−1.8 ppt」會以為系統知道原因，那比不回答更傷。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三、第三個問題：這案子真的做得成嗎？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3.1 名目報酬幾乎恆正，但那不是真相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拿任何一個都更案來試算，紙上的報酬幾乎都是正的——否則沒人會提案。但紙上報酬的前提是「這案子會走到完工」。從整合階段起算，一路走到完工的累積機率大約只有三成。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期望值 ＝ 名目報酬 × 完工機率 p × 時間折現 df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一個紙上報酬 30% 的案子，乘了完工機率、再折了 6–10 年的現，期望值可能趨近於零甚至為負。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名目報酬恆正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（這是都更能啟動的原因），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但期望值一乘 p、一折現就大幅縮水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——這個落差就是破局的數學根源。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3.2 三方期望值不對稱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期望值特徵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破局傾向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地主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蛋黃區現況本來就好，參與的 EV 可能 ≈0 或負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傾向拖延、觀望、holdout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實施者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前期收費、低資本投入，EV 常為正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願意推，但可能低估整合難度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代理實施者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僅收固定管理費，EV 穩定但不承擔盈虧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動機錯配：案子拖越久，管理費可能越多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判讀邏輯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GO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：三方 EV 皆為正，且投資方超過門檻報酬。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CAUTION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：投資方為正，但有任一方 EV≤0（整合不對稱風險）。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STOP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：投資方 ≤0，或地主顯著為負。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重點不是「我方賺不賺」，而是「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有沒有哪一方 EV 為負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」——那一方就是破局的引爆點（breakpoint stakeholder）。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3.3 完工機率的階段化結構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完工機率不是一個單一數字，而是各階段存活率的連乘。每個階段有不同的過濾器：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主要過濾器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存活率性質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S1 整合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同意率門檻（最大過濾器）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未過此關的案子占多數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S3–S5 報核／審議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審議委員會、公展陳情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台北市審議平均 2.34 年，老公寓案達 3.74 年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S7–S8 權變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估價爭議、不同意戶訴訟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核定後段存活率較高（約 0.77 示意）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S9–S11 融資／施工／交屋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資金斷鏈、營造風險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15 層案施工約 3.5 年</w:t>
            </w:r>
          </w:p>
        </w:tc>
      </w:tr>
    </w:tbl>
    <w:p>
      <w:pPr>
        <w:spacing w:after="80" w:before="0" w:line="276"/>
        <w:jc w:val="left"/>
      </w:pP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p_total ＝ ∏ 各階段存活率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目前各階段存活率為示意預設值，已使用一件在途審議案作為 n=1 錨點進行條件存活率校準，但尚未以大樣本驗證。判讀層級為「方向性判斷」，非完工保證。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3.4 審議的實務洞察——最常被低估的時程風險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審議階段（S3–S5）是整個流程中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最不可控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的段落。以下是整合人應掌握的審議實務：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審議的結構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事業計畫審議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：由都市更新審議會（或稱審議委員會）審查。委員會組成包含都市計畫、建築、法律、估價、社會等專業委員。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權利變換審議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：更新前後價值的合理性、共同負擔的合規性、分配的公平性。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公開展覽（公展）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：核定前的公展期間，利害關係人可提出意見或陳情。公展意見的處理須回覆且留案。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審議的時程現實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台北市平均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：事業計畫審議平均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2.34 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，40 年以上老公寓案可達 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3.74 年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審查意見回覆 → 修正 → 再審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：一個案子可能經歷多次修正，每次循環吃掉數月。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陳情與訴訟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：不同意戶在公展期間的陳情（合法程序權利），甚至訴願、行政訴訟，可拖延數年。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審議修正的連鎖反應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審議委員的修正意見常觸發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容積或共負的變動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，而這必須回寫全案：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容積修正 → 回到計算鏈重算允建、銷坪 → 共負比變動 → 分回比變動 → 已簽約地主的預期被打破。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這就是為什麼「改一動全」是鐵律——任何上游修正都沿計算鏈傳遞到末端。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審議策略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預先諮詢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：非正式地了解審議委員的關注方向，降低正式審查的來回次數。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完整回覆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：每一條審查意見的回覆都要有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事實基礎、法源依據、修正說明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，模糊回覆只會延長審議。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公展準備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：預判陳情方向，備妥回覆方案——特別是估價爭議和同意率質疑。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3.5 地主的 status quo 基準——不參與的機會成本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地主的 EV 計算中有一個容易被忽略的基準：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不做更新、繼續持有舊房的自然增值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hd w:fill="F5F5F5" w:color="auto" w:val="clear"/>
        <w:spacing w:after="120" w:before="60"/>
        <w:ind w:left="3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地主 EV = p × df × [更新後分回值] − 現值(抱舊房自然增值)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蛋黃區的舊房即使不更新，土地價值仍隨時間增值——地主的 status quo 並非「零」。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這解釋了為什麼蛋黃區地主即使面對高報酬方案，仍傾向觀望：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他的替代方案不是零，是穩穩地自然增值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蛋白區則相反：舊房增值緩慢甚至貶值，參與更新的 EV 相對更有吸引力。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3.6 時間治理——法定期限與經驗法則必須分開標示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一個 6–10 年的案子，真正殺死它的往往不是「算錯」，是「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錯過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」。公展期、陳情回覆期、聽證通知期、計畫核定後的申請期限——這些期限有法定效果，逾期的代價不是延後，是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程序重來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但把「期限」做成清單時，有一條紀律不能鬆：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每一條期限都要標明它的出處，而且出處的種類要看得見。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出處種類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意義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紀律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法定（statute）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條例／施行細則明文規定的期間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必須附上法條出處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，且註明查證日；法規大修期間尤其要複核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計畫（plan）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本案自訂的里程碑與內部期程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可調整，但調整要留下紀錄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經驗（heuristic）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從實務歸納的風險窗，例如「重大節點前後 72 小時風險最高」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必須明示是經驗法則、允許被案例推翻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，不得偽裝成規定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把經驗法則寫得像法條，是最容易發生也最難察覺的失信。「72 小時風險窗」是有用的直覺，但它不是法律——標示清楚，它才是資產；混為一談，它就是負債。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這條紀律和 §2.7 是同一件事的兩面：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規則要能追溯到出處，數字要能追溯到原因。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 兩者都在回答同一個問題——「憑什麼相信你？」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四、第四個問題：那我先做什麼？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4.1 兩件事必須分開：想不想，與能不能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實務上最常見的誤判，是把「不簽名」當成同一件事處理。但不簽名有兩種完全不同的原因：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意願問題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（不想簽）與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可簽性問題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（簽不了）。一個地主明明願意，卻因為繼承沒辦、有抵押、公同共有而簽不了——這是行政工作，再怎麼談都沒用，得去辦手續。把他算進「待說服名單」，會嚴重高估整合難度。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4.2 四種意願型別，四種對策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類型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他在算什麼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對應方法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絕對不能做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策略型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選擇權價值，等更好條件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讓「等」變貴：政策時效、代拆到期日、獎勵落日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顯露急迫（被讀成還有空間）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恐懼型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理性懷疑，不信這個實施者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制度性擔保：續建機制、連帶保證、履約保證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加碼（會加深懷疑）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錨定型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錨在室內實坪／原樓層／情感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回應真正錨定的：同坪室內、原樓層、承認錢補不回的東西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用權狀坪數回應（他在看的不是這個）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反對型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根本不想改建（情感／特殊意義）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走法定程序（需多數決非全體同意）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持續加碼說服（投入產出極低）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前三型都理性，只是理性錨在不同維度。只有第四型超出理性計算，需尊重＋法定程序。</w:t>
      </w:r>
    </w:p>
    <w:p>
      <w:pPr>
        <w:pStyle w:val="Heading4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666666"/>
          <w:sz w:val="21"/>
          <w:szCs w:val="21"/>
        </w:rPr>
        <w:t xml:space="preserve">最重要的一條：對恐懼型加碼是反效果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他要的不是更多錢，是「你不會跑」的保證。你加錢，他心裡浮現的是「原來還有空間，那你之前是不是騙我」。正確做法是用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制度的信用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取代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公司的信用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：信託續建、連帶保證書、履約保證、增資到位後的證明。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4.3 從二元到三態：不同意戶的真實處境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比「同意／反對」更真實的模型——地主在權利變換中實際面對三種狀態：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同意且參與選屋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：分配順序有利，可優先選擇偏好戶別。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同意但未參與選屋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→ 由其他住戶選完後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公開抽籤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——通常抽到的是大家不要的差戶別。這是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內建的、不靠強制力的「軟懲罰」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不同意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→ 未達最小分配單元者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領補償金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（更新前價值），失去以小換大的機會。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「選屋順序」本身就是一種可分配的籌碼——推著猶豫的地主從消極回到談判桌。這不是威脅，是制度設計。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4.4 代理人道德風險：全案管理模式的破局命門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當實施者是代理人（收固定管理費、不分回房地、不承擔最終盈虧）時，風險與報酬的錯配成為不同意戶攻擊的核心：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道德風險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機制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為什麼理性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營造成本虛報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管理公司代為招標，可能抬高報價賺差價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管理公司不承擔成本超支風險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工期拖延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服務費若按月或按進度收取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案子拖越久，管理費總額越多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前期收費偏高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開工前即收 40% 管理費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後期動機不足，地主承擔沉沒成本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餘屋低價拋售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為快速結案領尾款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壓低售價犧牲地主利潤</w:t>
            </w:r>
          </w:p>
        </w:tc>
      </w:tr>
    </w:tbl>
    <w:p>
      <w:pPr>
        <w:spacing w:after="80" w:before="0" w:line="276"/>
        <w:jc w:val="left"/>
      </w:pP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解方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（賽局層面）：不是增加監督——是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重新設計誘因結構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，讓實施者的報酬與完工品質掛鉤：管理費後付比例提高、履約保證金、續建保證機制（公股建經背景）。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4.5 制度信用的五根柱子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風險不靠「相信某家公司」消除，靠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架構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隔絕：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產權信託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：土地信託給銀行，隔絕個別地主的個人債務／查封／繼承爭議。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專款專用＋建經三方查核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：資金入信託專戶，撥款前過三關——財務稽核、工程查核、預售查核。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續建完工機制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：建經公司「完工承諾」，異常時啟動續建、找新廠商接手。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債務切分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：地主互不聯保，債務依分配比例各自承擔。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政府監督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：事業計畫經主管機關審查核定始得公告實施；重大異常可監管／代管／接管。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這五根柱子回答的是地主最深的恐懼——「蓋到一半落跑／被掏空怎麼辦」。在真實整合中，這比加錢更有效。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4.6 範圍紀律——做大餅不等於來者不拒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難整合的鄰房（如原容積已高的中樓層建物，加入後每戶可能只分回不到一坪、抗性極大）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不該拖垮基本盤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正解是「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先把核心基本盤穩固送件，留待後續協議擴大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」——scope 決策與「競合做大餅」是一體兩面。整合人不是來者不拒的和事佬，是知道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在哪裡畫線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的判斷者。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五、把五個問題連起來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從第零層到第四層，是一條有方向的鏈：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層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產出</w:t>
            </w:r>
          </w:p>
        </w:tc>
        <w:tc>
          <w:tcPr>
            <w:tcW w:type="dxa" w:w="225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交棒給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為什麼存在（底層邏輯）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判斷這塊地值不值得解鎖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第一個問題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能蓋多少（容積／坪效）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可銷售坪數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第二個問題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錢怎麼分（共負／雙軌）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各方分回與報酬率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第三個問題</w:t>
            </w:r>
          </w:p>
        </w:tc>
      </w:tr>
      <w:tr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做不做得成（期望值）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GO / CAUTION / STOP</w:t>
            </w:r>
          </w:p>
        </w:tc>
        <w:tc>
          <w:tcPr>
            <w:tcW w:type="dxa" w:w="225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第四個問題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先做什麼（對策）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明天早上該打給誰</w:t>
            </w:r>
          </w:p>
        </w:tc>
        <w:tc>
          <w:tcPr>
            <w:tcW w:type="dxa" w:w="22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→ 執行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五條讓數字可信的紀律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紀律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為什麼重要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公式只有一份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同一個數字在兩個地方算，遲早會對不起來。所有財務數字出自同一個計算核心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畫面不做推論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「該不該做」「先談誰」一律由引擎產出並可溯源，介面不自行發明結論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沒把握的事要標出來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完工機率的存活率尚未經大樣本校準——這句話必須和結論一樣顯眼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區分增值與搬移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容積／屋齡歸零／整合效率是真實增值；財務重分配只決定切法，不把餅變大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可歸因（V3 新增）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數字變了要說得出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誰造成的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，且各項原因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加得回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總變化量；算不出來時明確拒答，不用「其他」吸收差額（§2.7）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前四條守的是「數字算得對」，第五條守的是「數字說得清」。一份說不出原因的結論，在談判桌上撐不過第二個問題。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附錄 A：2026 趨勢透鏡——六股風同時吹</w:t>
      </w: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查證 2026-08。市場趨勢不是背景知識，是必須逐項回寫進敏感度的參數。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趨勢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2026 現況</w:t>
            </w:r>
          </w:p>
        </w:tc>
        <w:tc>
          <w:tcPr>
            <w:tcW w:type="dxa" w:w="30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回寫評估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資金・利率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價緩跌量盤整；央行轉精準控管，土建融未鬆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折現率保守；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素地難求＋限貸 → 火力集中都更危老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供給・餘屋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餘屋約 8–10 萬戶；2026–28 完工 32–36 萬戶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去化下修，分回戶銷售時點錯開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營造成本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年漲 2–3%；台北 RC ≈每坪 28 萬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用總樓地板坪、逐年升幅入模；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共負上升→分回壓縮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人口結構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高齡化、少子化、家戶縮小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產品轉小宅・適老・無障礙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政策降溫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平均地權・囤房稅 2.0・房地合一 2.0</w:t>
            </w:r>
          </w:p>
        </w:tc>
        <w:tc>
          <w:tcPr>
            <w:tcW w:type="dxa" w:w="30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買方轉自用・長期持有・法人退場</w:t>
            </w:r>
          </w:p>
        </w:tc>
      </w:tr>
      <w:tr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淨零・能效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BERS（2025/7 實施）；2040 前 50% 既有達能效一級</w:t>
            </w:r>
          </w:p>
        </w:tc>
        <w:tc>
          <w:tcPr>
            <w:tcW w:type="dxa" w:w="30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危老都更＝國家級減碳槓桿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；能效＋綠建築疊加容獎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2026 是「逆風中的結構性順風」——市場降溫，但限貸與淨零政策把資金與題材擠向都更危老。把六股風逐一回寫進敏感度，而非只喊「都更有前景」。</w:t>
      </w: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附錄 B：法規宇宙速查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核心三法：路徑與同意門檻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法源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同意門檻（依現行條文）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都市更新條例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事業概要 §22 &gt;1/2；事業計畫 §37：第 7 條劃定地區 &gt;1/2；其餘 &gt;3/4；面積 &gt;9/10 者人數不計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18"/>
                <w:szCs w:val="18"/>
              </w:rPr>
              <w:t xml:space="preserve">危老條例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全體（100%）同意，無須劃定更新單元</w:t>
            </w:r>
          </w:p>
        </w:tc>
      </w:tr>
    </w:tbl>
    <w:p>
      <w:pPr>
        <w:spacing w:after="80" w:before="0" w:line="276"/>
        <w:jc w:val="left"/>
      </w:pPr>
    </w:p>
    <w:p>
      <w:pPr>
        <w:pBdr>
          <w:left w:val="single" w:color="C5A02A" w:sz="6" w:space="8"/>
        </w:pBdr>
        <w:spacing w:after="120" w:before="60"/>
        <w:ind w:left="40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危老時程獎勵已歸零（114/5 落日）。路徑天平重新傾向都更多數決。</w:t>
      </w:r>
    </w:p>
    <w:p>
      <w:pPr>
        <w:pStyle w:val="Heading3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B365D"/>
          <w:sz w:val="24"/>
          <w:szCs w:val="24"/>
        </w:rPr>
        <w:t xml:space="preserve">你可能沒想過的那幾條（盲區清單）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法源</w:t>
            </w:r>
          </w:p>
        </w:tc>
        <w:tc>
          <w:tcPr>
            <w:tcW w:type="dxa" w:w="4500"/>
            <w:shd w:fill="1B365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為什麼會翻車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平均地權條例（2023/7）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限制預售換約、私法人許可制 → 改變買方結構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信託法・不動產開發信託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續建機制與資金專戶的法制基礎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文化資產保存法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老屋可能被列冊，影響可拆性與容積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銀行法 §72-2・土建融管制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放款水位直接決定資金到不到位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民法（共有・優先承買）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持分、繼承未分割——權屬整合的硬骨頭</w:t>
            </w:r>
          </w:p>
        </w:tc>
      </w:tr>
      <w:tr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建築技術規則 §162</w:t>
            </w:r>
          </w:p>
        </w:tc>
        <w:tc>
          <w:tcPr>
            <w:tcW w:type="dxa" w:w="4500"/>
            <w:shd w:fill="E8ED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停車數跨 50 輛觸發雙車道；免計逐層核算</w:t>
            </w:r>
          </w:p>
        </w:tc>
      </w:tr>
      <w:tr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消保法／預售定型化契約</w:t>
            </w:r>
          </w:p>
        </w:tc>
        <w:tc>
          <w:tcPr>
            <w:tcW w:type="dxa" w:w="45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18"/>
                <w:szCs w:val="18"/>
              </w:rPr>
              <w:t xml:space="preserve">分回戶合約合規，違反即無效</w:t>
            </w:r>
          </w:p>
        </w:tc>
      </w:tr>
    </w:tbl>
    <w:p>
      <w:pPr>
        <w:spacing w:after="80" w:before="0" w:line="276"/>
        <w:jc w:val="left"/>
      </w:pPr>
    </w:p>
    <w:p>
      <w:pPr>
        <w:pStyle w:val="Heading2"/>
        <w:spacing w:after="120" w:before="360"/>
      </w:pPr>
      <w:r>
        <w:rPr>
          <w:rFonts w:ascii="Microsoft JhengHei" w:cs="Microsoft JhengHei" w:eastAsia="Microsoft JhengHei" w:hAnsi="Microsoft JhengHei"/>
          <w:b/>
          <w:bCs/>
          <w:color w:val="2E5090"/>
          <w:sz w:val="28"/>
          <w:szCs w:val="28"/>
        </w:rPr>
        <w:t xml:space="preserve">誠實限制（本文件與系統共同適用）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完工機率所依的階段存活率為示意預設，已使用一件在途審議案（n=1）進行條件存活率錨定，但尚未經大樣本校準。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對策庫源自三個真實破局案例＋賽局與行為經濟理論，樣本小，屬方向性建議。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所有分型只是提示，權威永遠是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親自見過那個人的整合人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歸因（§2.7）目前只處理參數層級的差異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：兩個方案若結構不同（樓層表、產權清冊、案件類型、投報模式改變），系統會明確拒答而非給出近似值。這是刻意的邊界，不是缺漏。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法定期限庫已逐條附法源，但仍標記為</w:t>
      </w:r>
      <w:r>
        <w:rPr>
          <w:rFonts w:ascii="Microsoft JhengHei" w:cs="Microsoft JhengHei" w:eastAsia="Microsoft JhengHei" w:hAnsi="Microsoft JhengHei"/>
          <w:b/>
          <w:bCs/>
          <w:color w:val="333333"/>
          <w:sz w:val="21"/>
          <w:szCs w:val="21"/>
        </w:rPr>
        <w:t xml:space="preserve">待複核</w:t>
      </w: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；法規大修期間，個案適用一律以主管機關核定當下版本為準。</w:t>
      </w:r>
    </w:p>
    <w:p>
      <w:pPr>
        <w:spacing w:after="120" w:before="0" w:line="276"/>
        <w:ind w:left="400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本文所有案例與數字均為合成，不含任何真實案件資訊。</w:t>
      </w:r>
    </w:p>
    <w:p>
      <w:pPr>
        <w:spacing w:after="120" w:before="0" w:line="276"/>
        <w:jc w:val="left"/>
      </w:pPr>
      <w:r>
        <w:rPr>
          <w:rFonts w:ascii="Microsoft JhengHei" w:cs="Microsoft JhengHei" w:eastAsia="Microsoft JhengHei" w:hAnsi="Microsoft JhengHei"/>
          <w:color w:val="333333"/>
          <w:sz w:val="21"/>
          <w:szCs w:val="21"/>
        </w:rPr>
        <w:t xml:space="preserve">BUILDER · Urban Renewal Decision OS · V3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2026-08-07T14:26:14.161Z</dcterms:created>
  <dcterms:modified xsi:type="dcterms:W3CDTF">2026-08-07T14:26:14.172Z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