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TAKE THIS DOCUMENT INTO ACCOUNT - superseded (DGF-275FE452)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Superseded - do not use</cp:category>
  <cp:contentStatus>Withdrawn</cp:contentStatus>
</cp:coreProperties>
</file>