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Architecture Gate — Urbanization &amp; Network Constraints</w:t>
      </w:r>
    </w:p>
    <w:p>
      <w:r>
        <w:rPr>
          <w:i/>
          <w:sz w:val="20"/>
        </w:rPr>
        <w:t>Synthetic review dossier — DGF-INT-040101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Gaia Acquisition Integration — Cloud Landing Zone Extension [1BEA3]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2027-02-23</w:t>
            </w:r>
          </w:p>
        </w:tc>
      </w:tr>
    </w:tbl>
    <w:p>
      <w:pPr>
        <w:pStyle w:val="Heading1"/>
      </w:pPr>
      <w:r>
        <w:t>Gate objective</w:t>
      </w:r>
    </w:p>
    <w:p>
      <w:r>
        <w:t>Assess HLD/LLD coherence, APIs, flows, data ownership, network constraints, performance, availability and reversibility.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ARCHITECTURE_REGISTER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REVIEW_FACTS_ARCHITECTURE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2027-02-23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