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Procurement Gate — Purchasing, Contracts &amp; Suppliers</w:t>
      </w:r>
    </w:p>
    <w:p>
      <w:r>
        <w:rPr>
          <w:i/>
          <w:sz w:val="20"/>
        </w:rPr>
        <w:t>Synthetic review dossier — DGF-INT-040101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Gaia Acquisition Integration — Cloud Landing Zone Extension [1BEA3]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Retail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2027-02-23</w:t>
            </w:r>
          </w:p>
        </w:tc>
      </w:tr>
    </w:tbl>
    <w:p>
      <w:pPr>
        <w:pStyle w:val="Heading1"/>
      </w:pPr>
      <w:r>
        <w:t>Gate objective</w:t>
      </w:r>
    </w:p>
    <w:p>
      <w:r>
        <w:t>Assess make/buy, tender quality, supplier scoring, TCO and third-party due diligence.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gate_evidence/legal/contract_register.json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PROCUREMENT_AWARD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gate_evidence/procurement/award_decision.json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VENDOR_RESPONSES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gate_evidence/procurement/vendor_responses.json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REVIEW_FACTS_PROCUREMENT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2027-02-23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