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Tech Readiness Gate — Maturity &amp; Production Reliability</w:t>
      </w:r>
    </w:p>
    <w:p>
      <w:r>
        <w:rPr>
          <w:i/>
          <w:sz w:val="20"/>
        </w:rPr>
        <w:t>Synthetic review dossier — DGF-BUY-040100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Xenon — Observability Platform [614F0]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Technology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Internal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2027-06-22</w:t>
            </w:r>
          </w:p>
        </w:tc>
      </w:tr>
    </w:tbl>
    <w:p>
      <w:pPr>
        <w:pStyle w:val="Heading1"/>
      </w:pPr>
      <w:r>
        <w:t>Gate objective</w:t>
      </w:r>
    </w:p>
    <w:p>
      <w:r>
        <w:t>Assess test maturity, resilience, backups, recovery, observability, operational handover and aptitude for production.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SUPPORT_RACI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gate_evidence/it/support_raci.docx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ITSM_CHANGE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gate_evidence/it/itsm_change.csv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CAPACITY_REPORT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gate_evidence/it/capacity_report.csv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gate_evidence/architecture/Architecture_Diagram_Detailed.svg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gate_evidence/architecture/LLD_Architecture_Notes.docx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SENTINEL_STATUS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gate_evidence/security/sentinel_connectors.json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DEFENDER_FINDINGS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gate_evidence/security/defender_findings.csv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VULN_SCAN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gate_evidence/security/vulnerability_scan.csv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PENTEST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gate_evidence/security/pentest_report.docx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BACKUP_JOBS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gate_evidence/tech_readiness/backup_jobs.csv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RESTORE_TEST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gate_evidence/tech_readiness/restore_test.csv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FAILOVER_TEST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gate_evidence/tech_readiness/failover_test.csv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LOAD_TEST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gate_evidence/tech_readiness/load_test.csv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CI_PIPELINE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gate_evidence/tech_readiness/ci_pipeline.json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RUNBOOK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gate_evidence/tech_readiness/production_runbook.docx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ROLLBACK_TEST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gate_evidence/tech_readiness/rollback_test.csv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SLO_SLI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gate_evidence/tech_readiness/slo_sli.csv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MONITOR_ALERTS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gate_evidence/tech_readiness/monitor_alerts.csv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SLA_ANNEX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gate_evidence/legal/SLA_Annex.docx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ARCHITECTURE_REGISTER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gate_evidence/architecture/architecture_register.json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OPERATIONS_READINESS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gate_evidence/tech_readiness/operational_readiness.csv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RELEASE_BLOCKERS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gate_evidence/tech_readiness/release_blockers.csv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REVIEW_FACTS_TECH_READINESS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2027-06-22 target unless the issue is a genuine blocker.</w:t>
      </w:r>
    </w:p>
    <w:p>
      <w:pPr>
        <w:pStyle w:val="ListBullet"/>
      </w:pPr>
      <w:r>
        <w:t>Sponsor: The project is priority P0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