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Tech Readiness Gate — Maturity &amp; Production Reliability</w:t>
      </w:r>
    </w:p>
    <w:p>
      <w:r>
        <w:rPr>
          <w:i/>
          <w:sz w:val="20"/>
        </w:rPr>
        <w:t>Synthetic review dossier — DGF-BLD-012002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Juno — Claims Automation [3C70A]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2027-03-10</w:t>
            </w:r>
          </w:p>
        </w:tc>
      </w:tr>
    </w:tbl>
    <w:p>
      <w:pPr>
        <w:pStyle w:val="Heading1"/>
      </w:pPr>
      <w:r>
        <w:t>Gate objective</w:t>
      </w:r>
    </w:p>
    <w:p>
      <w:r>
        <w:t>Assess test maturity, resilience, backups, recovery, observability, operational handover and aptitude for production.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gate_evidence/architecture/LLD_Architecture_Notes.docx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SENTINEL_STATUS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gate_evidence/security/sentinel_connectors.json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DEFENDER_FINDINGS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gate_evidence/security/defender_findings.csv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VULN_SCAN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gate_evidence/security/vulnerability_scan.csv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PENTEST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gate_evidence/security/pentest_report.docx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LOAD_TEST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gate_evidence/tech_readiness/load_test.csv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CI_PIPELINE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gate_evidence/tech_readiness/ci_pipeline.json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MONITOR_ALERTS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gate_evidence/tech_readiness/monitor_alerts.csv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ARCHITECTURE_REGISTER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OPERATIONS_READINESS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gate_evidence/tech_readiness/operational_readiness.csv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RELEASE_BLOCKERS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gate_evidence/tech_readiness/release_blockers.csv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REVIEW_FACTS_TECH_READINESS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2027-03-10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