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MSA-C5FA3-8.3</w:t>
      </w:r>
    </w:p>
    <w:p>
      <w:pPr>
        <w:pStyle w:val="Heading1"/>
      </w:pPr>
      <w:r>
        <w:t>1. Services</w:t>
      </w:r>
    </w:p>
    <w:p>
      <w:r>
        <w:t>Supplier shall provide the services described in the Order Form for Quartz Acquisition Integration — Cloud Landing Zone Extension [C5FA3].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France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