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p>
      <w:r>
        <w:t>For information: the condition behind IT-EOL-001 was remediated and closed (decision DGF-17DB17F8).</w:t>
      </w:r>
    </w:p>
    <w:p>
      <w:r>
        <w:t>Closure of ARCH-PERF-001 is confirmed by the owner and the supplier (decision DGF-1B76FA8E).</w:t>
      </w:r>
    </w:p>
    <w:p>
      <w:r>
        <w:t>For information: the condition behind SEC-VULN-001 was remediated and closed (decision DGF-2DC611F4).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