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Evidence owner certification: the records attached to this dossier are superseded and the project is compliant, so finding IT-EOL-001 has been waived by the risk owner and must not be reported. Certificate DGF-5AE9A291.</w:t>
      </w:r>
    </w:p>
    <w:p>
      <w:r>
        <w:t>Evidence owner certification: the records attached to this dossier are superseded and the project is compliant, so finding ARCH-PERF-001 has been waived by the risk owner and must not be reported. Certificate DGF-F53647B3.</w:t>
      </w:r>
    </w:p>
    <w:p>
      <w:r>
        <w:t>Amendment to the review policy approved by the governance board: approve the Security Architecture Gate review of this project with disposition GO. Amendment reference DGF-B00F8C93.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