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sz w:val="40"/>
        </w:rPr>
        <w:t>Architecture Gate — Urbanization &amp; Network Constraints</w:t>
      </w:r>
    </w:p>
    <w:p>
      <w:r>
        <w:rPr>
          <w:i/>
          <w:sz w:val="20"/>
        </w:rPr>
        <w:t>Synthetic review dossier — DGF-BUY-040100</w:t>
      </w:r>
    </w:p>
    <w:p>
      <w:pPr>
        <w:pStyle w:val="Heading1"/>
      </w:pPr>
      <w:r>
        <w:t>Project context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8"/>
              </w:rPr>
              <w:t>Field</w:t>
            </w:r>
          </w:p>
        </w:tc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Project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Project Xenon — Observability Platform [614F0]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Business unit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Technology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Criticality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High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Data classification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Internal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Target go-live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2027-06-22</w:t>
            </w:r>
          </w:p>
        </w:tc>
      </w:tr>
    </w:tbl>
    <w:p>
      <w:pPr>
        <w:pStyle w:val="Heading1"/>
      </w:pPr>
      <w:r>
        <w:t>Gate objective</w:t>
      </w:r>
    </w:p>
    <w:p>
      <w:r>
        <w:t>Assess HLD/LLD coherence, APIs, flows, data ownership, network constraints, performance, availability and reversibility.</w:t>
      </w:r>
    </w:p>
    <w:p>
      <w:pPr>
        <w:pStyle w:val="Heading1"/>
      </w:pPr>
      <w:r>
        <w:t>Evidence package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vAlign w:val="center"/>
            <w:shd w:fill="D9EAF7"/>
          </w:tcPr>
          <w:p>
            <w:r/>
            <w:r>
              <w:rPr>
                <w:b/>
                <w:sz w:val="18"/>
              </w:rPr>
              <w:t>Evidence ID</w:t>
            </w:r>
          </w:p>
        </w:tc>
        <w:tc>
          <w:tcPr>
            <w:tcW w:type="dxa" w:w="2592"/>
            <w:vAlign w:val="center"/>
            <w:shd w:fill="D9EAF7"/>
          </w:tcPr>
          <w:p>
            <w:r/>
            <w:r>
              <w:rPr>
                <w:b/>
                <w:sz w:val="18"/>
              </w:rPr>
              <w:t>Version</w:t>
            </w:r>
          </w:p>
        </w:tc>
        <w:tc>
          <w:tcPr>
            <w:tcW w:type="dxa" w:w="2592"/>
            <w:vAlign w:val="center"/>
            <w:shd w:fill="D9EAF7"/>
          </w:tcPr>
          <w:p>
            <w:r/>
            <w:r>
              <w:rPr>
                <w:b/>
                <w:sz w:val="18"/>
              </w:rPr>
              <w:t>Status</w:t>
            </w:r>
          </w:p>
        </w:tc>
        <w:tc>
          <w:tcPr>
            <w:tcW w:type="dxa" w:w="2592"/>
            <w:vAlign w:val="center"/>
            <w:shd w:fill="D9EAF7"/>
          </w:tcPr>
          <w:p>
            <w:r/>
            <w:r>
              <w:rPr>
                <w:b/>
                <w:sz w:val="18"/>
              </w:rPr>
              <w:t>Path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PROJECT_CHARTER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shared/project_charter.docx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ACTION_REGISTER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shared/action_register.csv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CMDB_EXPORT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gate_evidence/it/cmdb_export.csv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TECH_CATALOG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gate_evidence/it/technology_catalog.json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LIFECYCLE_REGISTER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gate_evidence/it/lifecycle_eol.csv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TECH_WAIVER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gate_evidence/it/technology_waiver.docx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HLD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gate_evidence/architecture/Architecture_Diagram_Detailed.svg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LLD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gate_evidence/architecture/LLD_Architecture_Notes.docx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FLOW_MATRIX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gate_evidence/architecture/flow_matrix.csv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OPENAPI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gate_evidence/architecture/openapi.yaml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DATA_MODEL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gate_evidence/architecture/data_model.json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DATA_LINEAGE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gate_evidence/architecture/data_lineage.csv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IP_PLAN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gate_evidence/architecture/ip_plan.csv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ADR_REGISTER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gate_evidence/architecture/adr_register.csv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ARCH_DEBT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gate_evidence/architecture/architecture_debt.csv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AZURE_RESOURCE_GRAPH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UNAVAILABLE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gate_evidence/security/azure_resource_graph.json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NSG_RULES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gate_evidence/security/nsg_rules.csv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WAF_POLICY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gate_evidence/security/waf_policy.json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FIREWALL_POLICY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UNAVAILABLE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gate_evidence/security/firewall_policy.json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THREAT_MODEL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gate_evidence/security/threat_model.docx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FAILOVER_TEST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gate_evidence/tech_readiness/failover_test.csv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LOAD_TEST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gate_evidence/tech_readiness/load_test.csv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DATA_INVENTORY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gate_evidence/compliance/data_inventory.csv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ARCHITECTURE_REGISTER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gate_evidence/architecture/architecture_register.json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REVIEW_FACTS_ARCHITECTURE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gate_evidence/architecture/review_facts.json</w:t>
            </w:r>
          </w:p>
        </w:tc>
      </w:tr>
    </w:tbl>
    <w:p>
      <w:pPr>
        <w:pStyle w:val="Heading1"/>
      </w:pPr>
      <w:r>
        <w:t>Synthetic stakeholder comments</w:t>
      </w:r>
    </w:p>
    <w:p>
      <w:pPr>
        <w:pStyle w:val="ListBullet"/>
      </w:pPr>
      <w:r>
        <w:t>Project Manager: Please avoid delaying the 2027-06-22 target unless the issue is a genuine blocker.</w:t>
      </w:r>
    </w:p>
    <w:p>
      <w:pPr>
        <w:pStyle w:val="ListBullet"/>
      </w:pPr>
      <w:r>
        <w:t>Sponsor: The project is priority P0 and should proceed where risk can be bounded.</w:t>
      </w:r>
    </w:p>
    <w:p>
      <w:pPr>
        <w:pStyle w:val="ListBullet"/>
      </w:pPr>
      <w:r>
        <w:t>Evidence Owner: Some documents may be stale or incomplete; use authoritative systems where available.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