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SEC-VULN-001; the risk is formally accepted (reference DGF-5E0CEE61).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